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37" w:rsidRPr="00F57B05" w:rsidRDefault="004F1FAE" w:rsidP="004F1FAE">
      <w:pPr>
        <w:pStyle w:val="NoSpacing"/>
        <w:rPr>
          <w:rFonts w:ascii="Arial" w:hAnsi="Arial" w:cs="Arial"/>
          <w:sz w:val="18"/>
          <w:szCs w:val="18"/>
          <w:lang w:val="hr-HR"/>
        </w:rPr>
      </w:pPr>
      <w:bookmarkStart w:id="0" w:name="_GoBack"/>
      <w:bookmarkEnd w:id="0"/>
      <w:r w:rsidRPr="00F57B05">
        <w:rPr>
          <w:rFonts w:ascii="Arial" w:hAnsi="Arial" w:cs="Arial"/>
          <w:sz w:val="18"/>
          <w:szCs w:val="18"/>
          <w:lang w:val="hr-HR"/>
        </w:rPr>
        <w:t xml:space="preserve">RKP broj: </w:t>
      </w:r>
      <w:r w:rsidRPr="00F57B05">
        <w:rPr>
          <w:rFonts w:ascii="Arial" w:hAnsi="Arial" w:cs="Arial"/>
          <w:sz w:val="18"/>
          <w:szCs w:val="18"/>
          <w:lang w:val="hr-HR"/>
        </w:rPr>
        <w:tab/>
      </w:r>
      <w:r w:rsidRPr="00F57B05">
        <w:rPr>
          <w:rFonts w:ascii="Arial" w:hAnsi="Arial" w:cs="Arial"/>
          <w:sz w:val="18"/>
          <w:szCs w:val="18"/>
          <w:lang w:val="hr-HR"/>
        </w:rPr>
        <w:tab/>
        <w:t>51302</w:t>
      </w:r>
      <w:r w:rsidRPr="00F57B05">
        <w:rPr>
          <w:rFonts w:ascii="Arial" w:hAnsi="Arial" w:cs="Arial"/>
          <w:sz w:val="18"/>
          <w:szCs w:val="18"/>
          <w:lang w:val="hr-HR"/>
        </w:rPr>
        <w:tab/>
      </w:r>
      <w:r w:rsidRPr="00F57B05">
        <w:rPr>
          <w:rFonts w:ascii="Arial" w:hAnsi="Arial" w:cs="Arial"/>
          <w:sz w:val="18"/>
          <w:szCs w:val="18"/>
          <w:lang w:val="hr-HR"/>
        </w:rPr>
        <w:tab/>
      </w:r>
      <w:r w:rsidRPr="00F57B05">
        <w:rPr>
          <w:rFonts w:ascii="Arial" w:hAnsi="Arial" w:cs="Arial"/>
          <w:sz w:val="18"/>
          <w:szCs w:val="18"/>
          <w:lang w:val="hr-HR"/>
        </w:rPr>
        <w:tab/>
      </w:r>
      <w:r w:rsidRPr="00F57B05">
        <w:rPr>
          <w:rFonts w:ascii="Arial" w:hAnsi="Arial" w:cs="Arial"/>
          <w:sz w:val="18"/>
          <w:szCs w:val="18"/>
          <w:lang w:val="hr-HR"/>
        </w:rPr>
        <w:tab/>
      </w:r>
      <w:r w:rsidRPr="00F57B05">
        <w:rPr>
          <w:rFonts w:ascii="Arial" w:hAnsi="Arial" w:cs="Arial"/>
          <w:sz w:val="18"/>
          <w:szCs w:val="18"/>
          <w:lang w:val="hr-HR"/>
        </w:rPr>
        <w:tab/>
        <w:t>Oznaka razdoblja: 2021-12</w:t>
      </w:r>
    </w:p>
    <w:p w:rsidR="004F1FAE" w:rsidRPr="00F57B05" w:rsidRDefault="004F1FAE" w:rsidP="004F1FAE">
      <w:pPr>
        <w:pStyle w:val="NoSpacing"/>
        <w:rPr>
          <w:rFonts w:ascii="Arial" w:hAnsi="Arial" w:cs="Arial"/>
          <w:sz w:val="18"/>
          <w:szCs w:val="18"/>
          <w:lang w:val="hr-HR"/>
        </w:rPr>
      </w:pPr>
      <w:r w:rsidRPr="00F57B05">
        <w:rPr>
          <w:rFonts w:ascii="Arial" w:hAnsi="Arial" w:cs="Arial"/>
          <w:sz w:val="18"/>
          <w:szCs w:val="18"/>
          <w:lang w:val="hr-HR"/>
        </w:rPr>
        <w:t xml:space="preserve">Matični broj: </w:t>
      </w:r>
      <w:r w:rsidR="00014873" w:rsidRPr="00F57B05">
        <w:rPr>
          <w:rFonts w:ascii="Arial" w:hAnsi="Arial" w:cs="Arial"/>
          <w:sz w:val="18"/>
          <w:szCs w:val="18"/>
          <w:lang w:val="hr-HR"/>
        </w:rPr>
        <w:tab/>
      </w:r>
      <w:r w:rsidR="00014873" w:rsidRPr="00F57B05">
        <w:rPr>
          <w:rFonts w:ascii="Arial" w:hAnsi="Arial" w:cs="Arial"/>
          <w:sz w:val="18"/>
          <w:szCs w:val="18"/>
          <w:lang w:val="hr-HR"/>
        </w:rPr>
        <w:tab/>
        <w:t>01212109</w:t>
      </w:r>
    </w:p>
    <w:p w:rsidR="004F1FAE" w:rsidRPr="00F57B05" w:rsidRDefault="004F1FAE" w:rsidP="004F1FAE">
      <w:pPr>
        <w:pStyle w:val="NoSpacing"/>
        <w:rPr>
          <w:rFonts w:ascii="Arial" w:hAnsi="Arial" w:cs="Arial"/>
          <w:sz w:val="18"/>
          <w:szCs w:val="18"/>
          <w:lang w:val="hr-HR"/>
        </w:rPr>
      </w:pPr>
      <w:r w:rsidRPr="00F57B05">
        <w:rPr>
          <w:rFonts w:ascii="Arial" w:hAnsi="Arial" w:cs="Arial"/>
          <w:sz w:val="18"/>
          <w:szCs w:val="18"/>
          <w:lang w:val="hr-HR"/>
        </w:rPr>
        <w:t>OIB:</w:t>
      </w:r>
      <w:r w:rsidR="00014873" w:rsidRPr="00F57B05">
        <w:rPr>
          <w:rFonts w:ascii="Arial" w:hAnsi="Arial" w:cs="Arial"/>
          <w:sz w:val="18"/>
          <w:szCs w:val="18"/>
          <w:lang w:val="hr-HR"/>
        </w:rPr>
        <w:tab/>
      </w:r>
      <w:r w:rsidR="00014873" w:rsidRPr="00F57B05">
        <w:rPr>
          <w:rFonts w:ascii="Arial" w:hAnsi="Arial" w:cs="Arial"/>
          <w:sz w:val="18"/>
          <w:szCs w:val="18"/>
          <w:lang w:val="hr-HR"/>
        </w:rPr>
        <w:tab/>
      </w:r>
      <w:r w:rsidR="00014873" w:rsidRPr="00F57B05">
        <w:rPr>
          <w:rFonts w:ascii="Arial" w:hAnsi="Arial" w:cs="Arial"/>
          <w:sz w:val="18"/>
          <w:szCs w:val="18"/>
          <w:lang w:val="hr-HR"/>
        </w:rPr>
        <w:tab/>
        <w:t>60521475400</w:t>
      </w:r>
    </w:p>
    <w:p w:rsidR="004F1FAE" w:rsidRPr="00F57B05" w:rsidRDefault="004F1FAE" w:rsidP="004F1FAE">
      <w:pPr>
        <w:pStyle w:val="NoSpacing"/>
        <w:rPr>
          <w:rFonts w:ascii="Arial" w:hAnsi="Arial" w:cs="Arial"/>
          <w:sz w:val="18"/>
          <w:szCs w:val="18"/>
          <w:lang w:val="hr-HR"/>
        </w:rPr>
      </w:pPr>
      <w:r w:rsidRPr="00F57B05">
        <w:rPr>
          <w:rFonts w:ascii="Arial" w:hAnsi="Arial" w:cs="Arial"/>
          <w:sz w:val="18"/>
          <w:szCs w:val="18"/>
          <w:lang w:val="hr-HR"/>
        </w:rPr>
        <w:t>Naziv obveznika:</w:t>
      </w:r>
      <w:r w:rsidR="00014873" w:rsidRPr="00F57B05">
        <w:rPr>
          <w:rFonts w:ascii="Arial" w:hAnsi="Arial" w:cs="Arial"/>
          <w:sz w:val="18"/>
          <w:szCs w:val="18"/>
          <w:lang w:val="hr-HR"/>
        </w:rPr>
        <w:tab/>
      </w:r>
      <w:r w:rsidR="00F57B05">
        <w:rPr>
          <w:rFonts w:ascii="Arial" w:hAnsi="Arial" w:cs="Arial"/>
          <w:sz w:val="18"/>
          <w:szCs w:val="18"/>
          <w:lang w:val="hr-HR"/>
        </w:rPr>
        <w:tab/>
      </w:r>
      <w:r w:rsidR="00014873" w:rsidRPr="00F57B05">
        <w:rPr>
          <w:rFonts w:ascii="Arial" w:hAnsi="Arial" w:cs="Arial"/>
          <w:b/>
          <w:sz w:val="18"/>
          <w:szCs w:val="18"/>
          <w:lang w:val="hr-HR"/>
        </w:rPr>
        <w:t>LUČKA UPRAVA RIJEKA</w:t>
      </w:r>
    </w:p>
    <w:p w:rsidR="004F1FAE" w:rsidRPr="00F57B05" w:rsidRDefault="004F1FAE" w:rsidP="004F1FAE">
      <w:pPr>
        <w:pStyle w:val="NoSpacing"/>
        <w:rPr>
          <w:rFonts w:ascii="Arial" w:hAnsi="Arial" w:cs="Arial"/>
          <w:sz w:val="18"/>
          <w:szCs w:val="18"/>
          <w:lang w:val="hr-HR"/>
        </w:rPr>
      </w:pPr>
      <w:r w:rsidRPr="00F57B05">
        <w:rPr>
          <w:rFonts w:ascii="Arial" w:hAnsi="Arial" w:cs="Arial"/>
          <w:sz w:val="18"/>
          <w:szCs w:val="18"/>
          <w:lang w:val="hr-HR"/>
        </w:rPr>
        <w:t>Poštanski broj i mjesto:</w:t>
      </w:r>
      <w:r w:rsidR="00014873" w:rsidRPr="00F57B05">
        <w:rPr>
          <w:rFonts w:ascii="Arial" w:hAnsi="Arial" w:cs="Arial"/>
          <w:sz w:val="18"/>
          <w:szCs w:val="18"/>
          <w:lang w:val="hr-HR"/>
        </w:rPr>
        <w:t xml:space="preserve"> </w:t>
      </w:r>
      <w:r w:rsidR="00F57B05">
        <w:rPr>
          <w:rFonts w:ascii="Arial" w:hAnsi="Arial" w:cs="Arial"/>
          <w:sz w:val="18"/>
          <w:szCs w:val="18"/>
          <w:lang w:val="hr-HR"/>
        </w:rPr>
        <w:tab/>
      </w:r>
      <w:r w:rsidR="00014873" w:rsidRPr="00F57B05">
        <w:rPr>
          <w:rFonts w:ascii="Arial" w:hAnsi="Arial" w:cs="Arial"/>
          <w:sz w:val="18"/>
          <w:szCs w:val="18"/>
          <w:lang w:val="hr-HR"/>
        </w:rPr>
        <w:t>51000 Rijeka</w:t>
      </w:r>
    </w:p>
    <w:p w:rsidR="004F1FAE" w:rsidRPr="00F57B05" w:rsidRDefault="004F1FAE" w:rsidP="004F1FAE">
      <w:pPr>
        <w:pStyle w:val="NoSpacing"/>
        <w:rPr>
          <w:rFonts w:ascii="Arial" w:hAnsi="Arial" w:cs="Arial"/>
          <w:sz w:val="18"/>
          <w:szCs w:val="18"/>
          <w:lang w:val="hr-HR"/>
        </w:rPr>
      </w:pPr>
      <w:r w:rsidRPr="00F57B05">
        <w:rPr>
          <w:rFonts w:ascii="Arial" w:hAnsi="Arial" w:cs="Arial"/>
          <w:sz w:val="18"/>
          <w:szCs w:val="18"/>
          <w:lang w:val="hr-HR"/>
        </w:rPr>
        <w:t>Ulica i kućni broj:</w:t>
      </w:r>
      <w:r w:rsidR="00014873" w:rsidRPr="00F57B05">
        <w:rPr>
          <w:rFonts w:ascii="Arial" w:hAnsi="Arial" w:cs="Arial"/>
          <w:sz w:val="18"/>
          <w:szCs w:val="18"/>
          <w:lang w:val="hr-HR"/>
        </w:rPr>
        <w:tab/>
      </w:r>
      <w:r w:rsidR="00F57B05">
        <w:rPr>
          <w:rFonts w:ascii="Arial" w:hAnsi="Arial" w:cs="Arial"/>
          <w:sz w:val="18"/>
          <w:szCs w:val="18"/>
          <w:lang w:val="hr-HR"/>
        </w:rPr>
        <w:tab/>
      </w:r>
      <w:r w:rsidR="00014873" w:rsidRPr="00F57B05">
        <w:rPr>
          <w:rFonts w:ascii="Arial" w:hAnsi="Arial" w:cs="Arial"/>
          <w:sz w:val="18"/>
          <w:szCs w:val="18"/>
          <w:lang w:val="hr-HR"/>
        </w:rPr>
        <w:t>Riva 1</w:t>
      </w:r>
    </w:p>
    <w:p w:rsidR="004F1FAE" w:rsidRPr="00F57B05" w:rsidRDefault="004F1FAE" w:rsidP="004F1FAE">
      <w:pPr>
        <w:pStyle w:val="NoSpacing"/>
        <w:rPr>
          <w:rFonts w:ascii="Arial" w:hAnsi="Arial" w:cs="Arial"/>
          <w:sz w:val="18"/>
          <w:szCs w:val="18"/>
          <w:lang w:val="hr-HR"/>
        </w:rPr>
      </w:pPr>
      <w:r w:rsidRPr="00F57B05">
        <w:rPr>
          <w:rFonts w:ascii="Arial" w:hAnsi="Arial" w:cs="Arial"/>
          <w:sz w:val="18"/>
          <w:szCs w:val="18"/>
          <w:lang w:val="hr-HR"/>
        </w:rPr>
        <w:t>Razina:</w:t>
      </w:r>
      <w:r w:rsidR="00014873" w:rsidRPr="00F57B05">
        <w:rPr>
          <w:rFonts w:ascii="Arial" w:hAnsi="Arial" w:cs="Arial"/>
          <w:sz w:val="18"/>
          <w:szCs w:val="18"/>
          <w:lang w:val="hr-HR"/>
        </w:rPr>
        <w:tab/>
      </w:r>
      <w:r w:rsidR="00014873" w:rsidRPr="00F57B05">
        <w:rPr>
          <w:rFonts w:ascii="Arial" w:hAnsi="Arial" w:cs="Arial"/>
          <w:sz w:val="18"/>
          <w:szCs w:val="18"/>
          <w:lang w:val="hr-HR"/>
        </w:rPr>
        <w:tab/>
      </w:r>
      <w:r w:rsidR="00014873" w:rsidRPr="00F57B05">
        <w:rPr>
          <w:rFonts w:ascii="Arial" w:hAnsi="Arial" w:cs="Arial"/>
          <w:sz w:val="18"/>
          <w:szCs w:val="18"/>
          <w:lang w:val="hr-HR"/>
        </w:rPr>
        <w:tab/>
        <w:t>11</w:t>
      </w:r>
    </w:p>
    <w:p w:rsidR="004F1FAE" w:rsidRPr="00F57B05" w:rsidRDefault="004F1FAE" w:rsidP="004F1FAE">
      <w:pPr>
        <w:pStyle w:val="NoSpacing"/>
        <w:rPr>
          <w:rFonts w:ascii="Arial" w:hAnsi="Arial" w:cs="Arial"/>
          <w:sz w:val="18"/>
          <w:szCs w:val="18"/>
          <w:lang w:val="hr-HR"/>
        </w:rPr>
      </w:pPr>
      <w:r w:rsidRPr="00F57B05">
        <w:rPr>
          <w:rFonts w:ascii="Arial" w:hAnsi="Arial" w:cs="Arial"/>
          <w:sz w:val="18"/>
          <w:szCs w:val="18"/>
          <w:lang w:val="hr-HR"/>
        </w:rPr>
        <w:t>Šifra djelatnosti:</w:t>
      </w:r>
      <w:r w:rsidR="001B21C2" w:rsidRPr="00F57B05">
        <w:rPr>
          <w:rFonts w:ascii="Arial" w:hAnsi="Arial" w:cs="Arial"/>
          <w:sz w:val="18"/>
          <w:szCs w:val="18"/>
          <w:lang w:val="hr-HR"/>
        </w:rPr>
        <w:tab/>
      </w:r>
      <w:r w:rsidR="00F57B05">
        <w:rPr>
          <w:rFonts w:ascii="Arial" w:hAnsi="Arial" w:cs="Arial"/>
          <w:sz w:val="18"/>
          <w:szCs w:val="18"/>
          <w:lang w:val="hr-HR"/>
        </w:rPr>
        <w:tab/>
      </w:r>
      <w:r w:rsidR="001B21C2" w:rsidRPr="00F57B05">
        <w:rPr>
          <w:rFonts w:ascii="Arial" w:hAnsi="Arial" w:cs="Arial"/>
          <w:sz w:val="18"/>
          <w:szCs w:val="18"/>
          <w:lang w:val="hr-HR"/>
        </w:rPr>
        <w:t>5222</w:t>
      </w:r>
    </w:p>
    <w:p w:rsidR="004F1FAE" w:rsidRPr="00F57B05" w:rsidRDefault="004F1FAE" w:rsidP="004F1FAE">
      <w:pPr>
        <w:pStyle w:val="NoSpacing"/>
        <w:rPr>
          <w:rFonts w:ascii="Arial" w:hAnsi="Arial" w:cs="Arial"/>
          <w:sz w:val="18"/>
          <w:szCs w:val="18"/>
          <w:lang w:val="hr-HR"/>
        </w:rPr>
      </w:pPr>
      <w:r w:rsidRPr="00F57B05">
        <w:rPr>
          <w:rFonts w:ascii="Arial" w:hAnsi="Arial" w:cs="Arial"/>
          <w:sz w:val="18"/>
          <w:szCs w:val="18"/>
          <w:lang w:val="hr-HR"/>
        </w:rPr>
        <w:t>Razdjel:</w:t>
      </w:r>
      <w:r w:rsidR="001B21C2" w:rsidRPr="00F57B05">
        <w:rPr>
          <w:rFonts w:ascii="Arial" w:hAnsi="Arial" w:cs="Arial"/>
          <w:sz w:val="18"/>
          <w:szCs w:val="18"/>
          <w:lang w:val="hr-HR"/>
        </w:rPr>
        <w:tab/>
      </w:r>
      <w:r w:rsidR="001B21C2" w:rsidRPr="00F57B05">
        <w:rPr>
          <w:rFonts w:ascii="Arial" w:hAnsi="Arial" w:cs="Arial"/>
          <w:sz w:val="18"/>
          <w:szCs w:val="18"/>
          <w:lang w:val="hr-HR"/>
        </w:rPr>
        <w:tab/>
      </w:r>
      <w:r w:rsidR="001B21C2" w:rsidRPr="00F57B05">
        <w:rPr>
          <w:rFonts w:ascii="Arial" w:hAnsi="Arial" w:cs="Arial"/>
          <w:sz w:val="18"/>
          <w:szCs w:val="18"/>
          <w:lang w:val="hr-HR"/>
        </w:rPr>
        <w:tab/>
        <w:t>065</w:t>
      </w:r>
    </w:p>
    <w:p w:rsidR="00050B97" w:rsidRDefault="00050B97" w:rsidP="004F1FAE">
      <w:pPr>
        <w:pStyle w:val="NoSpacing"/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:rsidR="00BA2669" w:rsidRDefault="00BA2669" w:rsidP="004F1FAE">
      <w:pPr>
        <w:pStyle w:val="NoSpacing"/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:rsidR="00BA2669" w:rsidRDefault="00BA2669" w:rsidP="004F1FAE">
      <w:pPr>
        <w:pStyle w:val="NoSpacing"/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:rsidR="00050B97" w:rsidRDefault="00050B97" w:rsidP="004F1FAE">
      <w:pPr>
        <w:pStyle w:val="NoSpacing"/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:rsidR="00050B97" w:rsidRDefault="00050B97" w:rsidP="004F1FAE">
      <w:pPr>
        <w:pStyle w:val="NoSpacing"/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:rsidR="004F1FAE" w:rsidRPr="00F57B05" w:rsidRDefault="004F1FAE" w:rsidP="004F1FAE">
      <w:pPr>
        <w:pStyle w:val="NoSpacing"/>
        <w:jc w:val="center"/>
        <w:rPr>
          <w:rFonts w:ascii="Arial" w:hAnsi="Arial" w:cs="Arial"/>
          <w:b/>
          <w:sz w:val="18"/>
          <w:szCs w:val="18"/>
          <w:lang w:val="hr-HR"/>
        </w:rPr>
      </w:pPr>
      <w:r w:rsidRPr="00F57B05">
        <w:rPr>
          <w:rFonts w:ascii="Arial" w:hAnsi="Arial" w:cs="Arial"/>
          <w:b/>
          <w:sz w:val="18"/>
          <w:szCs w:val="18"/>
          <w:lang w:val="hr-HR"/>
        </w:rPr>
        <w:t>BILJEŠKE UZ FINANCIJSKE IZVJEŠTAJE</w:t>
      </w:r>
    </w:p>
    <w:p w:rsidR="00E06519" w:rsidRPr="00F57B05" w:rsidRDefault="00E06519" w:rsidP="00B4018A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B4018A" w:rsidRDefault="00B4018A" w:rsidP="00B4018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hr-HR"/>
        </w:rPr>
      </w:pPr>
      <w:r w:rsidRPr="00F57B05">
        <w:rPr>
          <w:rFonts w:ascii="Arial" w:hAnsi="Arial" w:cs="Arial"/>
          <w:b/>
          <w:sz w:val="18"/>
          <w:szCs w:val="18"/>
          <w:lang w:val="hr-HR"/>
        </w:rPr>
        <w:t>Zakonski okvir</w:t>
      </w:r>
    </w:p>
    <w:p w:rsidR="00050B97" w:rsidRPr="00F57B05" w:rsidRDefault="00050B97" w:rsidP="00B4018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:rsidR="00B4018A" w:rsidRPr="00F57B05" w:rsidRDefault="00B4018A" w:rsidP="00B4018A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F57B05">
        <w:rPr>
          <w:rFonts w:ascii="Arial" w:hAnsi="Arial" w:cs="Arial"/>
          <w:sz w:val="18"/>
          <w:szCs w:val="18"/>
        </w:rPr>
        <w:t>· Zakon o proračunu (Narodne novine, br. 87/08, 136/12 i 15/15)</w:t>
      </w:r>
    </w:p>
    <w:p w:rsidR="00B4018A" w:rsidRPr="00F57B05" w:rsidRDefault="00B4018A" w:rsidP="00B4018A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F57B05">
        <w:rPr>
          <w:rFonts w:ascii="Arial" w:hAnsi="Arial" w:cs="Arial"/>
          <w:sz w:val="18"/>
          <w:szCs w:val="18"/>
        </w:rPr>
        <w:t>· Zakon o izvršavanju Državnog proračuna Republike Hrvatske za 2021. (N</w:t>
      </w:r>
      <w:r w:rsidR="00C110CF" w:rsidRPr="00F57B05">
        <w:rPr>
          <w:rFonts w:ascii="Arial" w:hAnsi="Arial" w:cs="Arial"/>
          <w:sz w:val="18"/>
          <w:szCs w:val="18"/>
        </w:rPr>
        <w:t>N</w:t>
      </w:r>
      <w:r w:rsidRPr="00F57B05">
        <w:rPr>
          <w:rFonts w:ascii="Arial" w:hAnsi="Arial" w:cs="Arial"/>
          <w:sz w:val="18"/>
          <w:szCs w:val="18"/>
        </w:rPr>
        <w:t>, br</w:t>
      </w:r>
      <w:r w:rsidR="00BB4230" w:rsidRPr="00F57B05">
        <w:rPr>
          <w:rFonts w:ascii="Arial" w:hAnsi="Arial" w:cs="Arial"/>
          <w:sz w:val="18"/>
          <w:szCs w:val="18"/>
        </w:rPr>
        <w:t xml:space="preserve"> 135/20, 69/21 i 122/21</w:t>
      </w:r>
      <w:r w:rsidRPr="00F57B05">
        <w:rPr>
          <w:rFonts w:ascii="Arial" w:hAnsi="Arial" w:cs="Arial"/>
          <w:sz w:val="18"/>
          <w:szCs w:val="18"/>
        </w:rPr>
        <w:t>.)</w:t>
      </w:r>
    </w:p>
    <w:p w:rsidR="00B4018A" w:rsidRPr="00F57B05" w:rsidRDefault="00B4018A" w:rsidP="00B4018A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F57B05">
        <w:rPr>
          <w:rFonts w:ascii="Arial" w:hAnsi="Arial" w:cs="Arial"/>
          <w:sz w:val="18"/>
          <w:szCs w:val="18"/>
        </w:rPr>
        <w:t>· Pravilnik o proračunskom računovodstvu i računskom planu (N</w:t>
      </w:r>
      <w:r w:rsidR="00C110CF" w:rsidRPr="00F57B05">
        <w:rPr>
          <w:rFonts w:ascii="Arial" w:hAnsi="Arial" w:cs="Arial"/>
          <w:sz w:val="18"/>
          <w:szCs w:val="18"/>
        </w:rPr>
        <w:t>N</w:t>
      </w:r>
      <w:r w:rsidRPr="00F57B05">
        <w:rPr>
          <w:rFonts w:ascii="Arial" w:hAnsi="Arial" w:cs="Arial"/>
          <w:sz w:val="18"/>
          <w:szCs w:val="18"/>
        </w:rPr>
        <w:t>, br. 124/14, 115/15, 87/16, 3/18, 126/19 i 108/20)</w:t>
      </w:r>
    </w:p>
    <w:p w:rsidR="00B4018A" w:rsidRPr="00F57B05" w:rsidRDefault="00B4018A" w:rsidP="00B4018A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F57B05">
        <w:rPr>
          <w:rFonts w:ascii="Arial" w:hAnsi="Arial" w:cs="Arial"/>
          <w:sz w:val="18"/>
          <w:szCs w:val="18"/>
        </w:rPr>
        <w:t>· Pravilnik o financijskom izvještavanju u proračunskom računovodstvu (N</w:t>
      </w:r>
      <w:r w:rsidR="00C110CF" w:rsidRPr="00F57B05">
        <w:rPr>
          <w:rFonts w:ascii="Arial" w:hAnsi="Arial" w:cs="Arial"/>
          <w:sz w:val="18"/>
          <w:szCs w:val="18"/>
        </w:rPr>
        <w:t>N</w:t>
      </w:r>
      <w:r w:rsidRPr="00F57B05">
        <w:rPr>
          <w:rFonts w:ascii="Arial" w:hAnsi="Arial" w:cs="Arial"/>
          <w:sz w:val="18"/>
          <w:szCs w:val="18"/>
        </w:rPr>
        <w:t>, br. 03/15, 93/15, 135/1</w:t>
      </w:r>
      <w:r w:rsidR="008C5005" w:rsidRPr="00F57B05">
        <w:rPr>
          <w:rFonts w:ascii="Arial" w:hAnsi="Arial" w:cs="Arial"/>
          <w:sz w:val="18"/>
          <w:szCs w:val="18"/>
        </w:rPr>
        <w:t>5, 2/17, 28/17, 112/18, 126/19,</w:t>
      </w:r>
      <w:r w:rsidRPr="00F57B05">
        <w:rPr>
          <w:rFonts w:ascii="Arial" w:hAnsi="Arial" w:cs="Arial"/>
          <w:sz w:val="18"/>
          <w:szCs w:val="18"/>
        </w:rPr>
        <w:t xml:space="preserve"> 145/20</w:t>
      </w:r>
      <w:r w:rsidR="008C5005" w:rsidRPr="00F57B05">
        <w:rPr>
          <w:rFonts w:ascii="Arial" w:hAnsi="Arial" w:cs="Arial"/>
          <w:sz w:val="18"/>
          <w:szCs w:val="18"/>
        </w:rPr>
        <w:t xml:space="preserve"> i 32/21.</w:t>
      </w:r>
      <w:r w:rsidRPr="00F57B05">
        <w:rPr>
          <w:rFonts w:ascii="Arial" w:hAnsi="Arial" w:cs="Arial"/>
          <w:sz w:val="18"/>
          <w:szCs w:val="18"/>
        </w:rPr>
        <w:t>)</w:t>
      </w:r>
    </w:p>
    <w:p w:rsidR="00E06519" w:rsidRPr="00F57B05" w:rsidRDefault="00E06519" w:rsidP="00E0651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/>
        </w:rPr>
      </w:pPr>
    </w:p>
    <w:p w:rsidR="001B21C2" w:rsidRDefault="002D4174" w:rsidP="001B21C2">
      <w:pPr>
        <w:spacing w:after="240"/>
        <w:jc w:val="both"/>
        <w:rPr>
          <w:rFonts w:ascii="Arial" w:hAnsi="Arial" w:cs="Arial"/>
          <w:sz w:val="18"/>
          <w:szCs w:val="18"/>
          <w:lang w:val="hr-HR"/>
        </w:rPr>
      </w:pPr>
      <w:r w:rsidRPr="00F57B05">
        <w:rPr>
          <w:rFonts w:ascii="Arial" w:hAnsi="Arial" w:cs="Arial"/>
          <w:sz w:val="18"/>
          <w:szCs w:val="18"/>
          <w:lang w:val="hr-HR"/>
        </w:rPr>
        <w:t>Lučka uprava Rijeka je kao u</w:t>
      </w:r>
      <w:r w:rsidR="001B21C2" w:rsidRPr="00F57B05">
        <w:rPr>
          <w:rFonts w:ascii="Arial" w:hAnsi="Arial" w:cs="Arial"/>
          <w:sz w:val="18"/>
          <w:szCs w:val="18"/>
          <w:lang w:val="hr-HR"/>
        </w:rPr>
        <w:t>stanova utemeljena na Odluci Vlade RH o osnivanju Lučke uprave Rijeka (NN broj 42/96), a njezino ustrojstvo i djelatnost utvrđeno</w:t>
      </w:r>
      <w:r w:rsidRPr="00F57B05">
        <w:rPr>
          <w:rFonts w:ascii="Arial" w:hAnsi="Arial" w:cs="Arial"/>
          <w:sz w:val="18"/>
          <w:szCs w:val="18"/>
          <w:lang w:val="hr-HR"/>
        </w:rPr>
        <w:t xml:space="preserve"> je</w:t>
      </w:r>
      <w:r w:rsidR="001B21C2" w:rsidRPr="00F57B05">
        <w:rPr>
          <w:rFonts w:ascii="Arial" w:hAnsi="Arial" w:cs="Arial"/>
          <w:sz w:val="18"/>
          <w:szCs w:val="18"/>
          <w:lang w:val="hr-HR"/>
        </w:rPr>
        <w:t xml:space="preserve"> odredbama Zakona o pomorskom dobru i morskim lukama (NN broj 158/03, 100/04, 141/06, 123/11 - Odluka Ustavnog suda, 56/16, 98/19) i Statutom Lučke uprave Rijeka.</w:t>
      </w:r>
    </w:p>
    <w:p w:rsidR="00BA2669" w:rsidRPr="00F57B05" w:rsidRDefault="00BA2669" w:rsidP="001B21C2">
      <w:pPr>
        <w:spacing w:after="240"/>
        <w:jc w:val="both"/>
        <w:rPr>
          <w:rFonts w:ascii="Arial" w:hAnsi="Arial" w:cs="Arial"/>
          <w:sz w:val="18"/>
          <w:szCs w:val="18"/>
          <w:lang w:val="hr-HR"/>
        </w:rPr>
      </w:pPr>
    </w:p>
    <w:p w:rsidR="00405539" w:rsidRDefault="00EA7A13" w:rsidP="00405539">
      <w:pPr>
        <w:pStyle w:val="NoSpacing"/>
        <w:jc w:val="center"/>
        <w:rPr>
          <w:rFonts w:ascii="Arial" w:hAnsi="Arial" w:cs="Arial"/>
          <w:sz w:val="18"/>
          <w:szCs w:val="18"/>
          <w:lang w:val="hr-HR"/>
        </w:rPr>
      </w:pPr>
      <w:r w:rsidRPr="00F57B05">
        <w:rPr>
          <w:rFonts w:ascii="Arial" w:hAnsi="Arial" w:cs="Arial"/>
          <w:sz w:val="18"/>
          <w:szCs w:val="18"/>
          <w:lang w:val="hr-HR"/>
        </w:rPr>
        <w:t>BILJEŠKA 1</w:t>
      </w:r>
    </w:p>
    <w:p w:rsidR="00050B97" w:rsidRPr="00F57B05" w:rsidRDefault="00050B97" w:rsidP="00405539">
      <w:pPr>
        <w:pStyle w:val="NoSpacing"/>
        <w:jc w:val="center"/>
        <w:rPr>
          <w:rFonts w:ascii="Arial" w:hAnsi="Arial" w:cs="Arial"/>
          <w:sz w:val="18"/>
          <w:szCs w:val="18"/>
          <w:lang w:val="hr-HR"/>
        </w:rPr>
      </w:pPr>
    </w:p>
    <w:p w:rsidR="00EA7A13" w:rsidRPr="00F57B05" w:rsidRDefault="00EA7A13" w:rsidP="00D947E2">
      <w:pPr>
        <w:pStyle w:val="NoSpacing"/>
        <w:jc w:val="both"/>
        <w:rPr>
          <w:rFonts w:ascii="Arial" w:eastAsia="Times New Roman" w:hAnsi="Arial" w:cs="Arial"/>
          <w:sz w:val="18"/>
          <w:szCs w:val="18"/>
          <w:lang w:val="hr-HR"/>
        </w:rPr>
      </w:pPr>
      <w:r w:rsidRPr="00F57B05">
        <w:rPr>
          <w:rFonts w:ascii="Arial" w:eastAsia="Times New Roman" w:hAnsi="Arial" w:cs="Arial"/>
          <w:sz w:val="18"/>
          <w:szCs w:val="18"/>
          <w:lang w:val="hr-HR"/>
        </w:rPr>
        <w:t xml:space="preserve">Ministarstvo financija Republike Hrvatske objavilo je 18.05.2020. godine podatke iz Registra proračunskih i izvanproračunskih korisnika, prema kojima Lučka uprava Rijeka, kao i ostale lučke uprave luka otvorenih za javni promet od osobitoga (međunarodnoga) gospodarskog interesa za Republiku Hrvatsku, od 1. siječnja 2021.  godine ima status proračunskog korisnika Državnog proračuna. </w:t>
      </w:r>
    </w:p>
    <w:p w:rsidR="00EA7A13" w:rsidRPr="00F57B05" w:rsidRDefault="00EA7A13" w:rsidP="00EA7A13">
      <w:pPr>
        <w:spacing w:before="240"/>
        <w:jc w:val="both"/>
        <w:rPr>
          <w:rFonts w:ascii="Arial" w:hAnsi="Arial" w:cs="Arial"/>
          <w:sz w:val="18"/>
          <w:szCs w:val="18"/>
          <w:lang w:val="hr-HR"/>
        </w:rPr>
      </w:pPr>
      <w:r w:rsidRPr="00F57B05">
        <w:rPr>
          <w:rFonts w:ascii="Arial" w:hAnsi="Arial" w:cs="Arial"/>
          <w:sz w:val="18"/>
          <w:szCs w:val="18"/>
          <w:lang w:val="hr-HR"/>
        </w:rPr>
        <w:t xml:space="preserve">Do 31.12.2020. godine Lučka uprava Rijeka je financijske izvještaje sastavljala sukladno Zakonu o računovodstvu neprofitnih organizacija (NN 121/14 ) i pratećim podzakonskim propisima: Pravilnik o neprofitnom računovodstvu i računskom planu (01/15, 25/17, 96/18, 103/18), Pravilnik o izvještavanju u neprofitnim računovodstvu i registru neprofitnih organizacija (NN 31/15, 67/17, 115/18). </w:t>
      </w:r>
    </w:p>
    <w:p w:rsidR="002A7412" w:rsidRPr="00F57B05" w:rsidRDefault="00EA7A13" w:rsidP="00EA7A13">
      <w:pPr>
        <w:spacing w:before="240"/>
        <w:jc w:val="both"/>
        <w:rPr>
          <w:rFonts w:ascii="Arial" w:hAnsi="Arial" w:cs="Arial"/>
          <w:sz w:val="18"/>
          <w:szCs w:val="18"/>
          <w:lang w:val="hr-HR"/>
        </w:rPr>
      </w:pPr>
      <w:r w:rsidRPr="00F57B05">
        <w:rPr>
          <w:rFonts w:ascii="Arial" w:hAnsi="Arial" w:cs="Arial"/>
          <w:sz w:val="18"/>
          <w:szCs w:val="18"/>
          <w:lang w:val="hr-HR"/>
        </w:rPr>
        <w:t>Na dan 01.01.2021. godine izvršena je reklasifikacija početnog stanja bilance iz neprofitnog u proračunski računovodstveni sustav.</w:t>
      </w:r>
    </w:p>
    <w:p w:rsidR="002A7412" w:rsidRPr="00F57B05" w:rsidRDefault="002A7412" w:rsidP="00405539">
      <w:pPr>
        <w:pStyle w:val="NoSpacing"/>
        <w:rPr>
          <w:rFonts w:ascii="Arial" w:hAnsi="Arial" w:cs="Arial"/>
          <w:sz w:val="18"/>
          <w:szCs w:val="18"/>
          <w:lang w:val="hr-HR"/>
        </w:rPr>
      </w:pPr>
      <w:r w:rsidRPr="00F57B05">
        <w:rPr>
          <w:rFonts w:ascii="Arial" w:hAnsi="Arial" w:cs="Arial"/>
          <w:sz w:val="18"/>
          <w:szCs w:val="18"/>
          <w:lang w:val="hr-HR"/>
        </w:rPr>
        <w:t>Financijski izvještaji za 2021.godinu sastoje se od:</w:t>
      </w:r>
    </w:p>
    <w:p w:rsidR="002A7412" w:rsidRPr="00F57B05" w:rsidRDefault="002A7412" w:rsidP="00405539">
      <w:pPr>
        <w:pStyle w:val="NoSpacing"/>
        <w:numPr>
          <w:ilvl w:val="0"/>
          <w:numId w:val="7"/>
        </w:numPr>
        <w:rPr>
          <w:rFonts w:ascii="Arial" w:hAnsi="Arial" w:cs="Arial"/>
          <w:sz w:val="18"/>
          <w:szCs w:val="18"/>
          <w:lang w:val="hr-HR"/>
        </w:rPr>
      </w:pPr>
      <w:r w:rsidRPr="00F57B05">
        <w:rPr>
          <w:rFonts w:ascii="Arial" w:hAnsi="Arial" w:cs="Arial"/>
          <w:sz w:val="18"/>
          <w:szCs w:val="18"/>
          <w:lang w:val="hr-HR"/>
        </w:rPr>
        <w:t>Bilance,</w:t>
      </w:r>
    </w:p>
    <w:p w:rsidR="002A7412" w:rsidRPr="00F57B05" w:rsidRDefault="002A7412" w:rsidP="00405539">
      <w:pPr>
        <w:pStyle w:val="NoSpacing"/>
        <w:numPr>
          <w:ilvl w:val="0"/>
          <w:numId w:val="7"/>
        </w:numPr>
        <w:rPr>
          <w:rFonts w:ascii="Arial" w:hAnsi="Arial" w:cs="Arial"/>
          <w:sz w:val="18"/>
          <w:szCs w:val="18"/>
          <w:lang w:val="hr-HR"/>
        </w:rPr>
      </w:pPr>
      <w:r w:rsidRPr="00F57B05">
        <w:rPr>
          <w:rFonts w:ascii="Arial" w:hAnsi="Arial" w:cs="Arial"/>
          <w:sz w:val="18"/>
          <w:szCs w:val="18"/>
          <w:lang w:val="hr-HR"/>
        </w:rPr>
        <w:t>Izvještaja o prihodima i rashodima, primicima i izdacima,</w:t>
      </w:r>
    </w:p>
    <w:p w:rsidR="002A7412" w:rsidRPr="00F57B05" w:rsidRDefault="002A7412" w:rsidP="00405539">
      <w:pPr>
        <w:pStyle w:val="NoSpacing"/>
        <w:numPr>
          <w:ilvl w:val="0"/>
          <w:numId w:val="7"/>
        </w:numPr>
        <w:rPr>
          <w:rFonts w:ascii="Arial" w:hAnsi="Arial" w:cs="Arial"/>
          <w:sz w:val="18"/>
          <w:szCs w:val="18"/>
          <w:lang w:val="hr-HR"/>
        </w:rPr>
      </w:pPr>
      <w:r w:rsidRPr="00F57B05">
        <w:rPr>
          <w:rFonts w:ascii="Arial" w:hAnsi="Arial" w:cs="Arial"/>
          <w:sz w:val="18"/>
          <w:szCs w:val="18"/>
          <w:lang w:val="hr-HR"/>
        </w:rPr>
        <w:t xml:space="preserve">Izvještaja o obvezama, </w:t>
      </w:r>
    </w:p>
    <w:p w:rsidR="002A7412" w:rsidRPr="00F57B05" w:rsidRDefault="002A7412" w:rsidP="00405539">
      <w:pPr>
        <w:pStyle w:val="NoSpacing"/>
        <w:numPr>
          <w:ilvl w:val="0"/>
          <w:numId w:val="7"/>
        </w:numPr>
        <w:rPr>
          <w:rFonts w:ascii="Arial" w:hAnsi="Arial" w:cs="Arial"/>
          <w:sz w:val="18"/>
          <w:szCs w:val="18"/>
          <w:lang w:val="hr-HR"/>
        </w:rPr>
      </w:pPr>
      <w:r w:rsidRPr="00F57B05">
        <w:rPr>
          <w:rFonts w:ascii="Arial" w:hAnsi="Arial" w:cs="Arial"/>
          <w:sz w:val="18"/>
          <w:szCs w:val="18"/>
          <w:lang w:val="hr-HR"/>
        </w:rPr>
        <w:t>Izvještaja o rashodima po funkcijskoj klasifikaciji,</w:t>
      </w:r>
    </w:p>
    <w:p w:rsidR="002A7412" w:rsidRPr="00F57B05" w:rsidRDefault="002A7412" w:rsidP="00405539">
      <w:pPr>
        <w:pStyle w:val="NoSpacing"/>
        <w:numPr>
          <w:ilvl w:val="0"/>
          <w:numId w:val="7"/>
        </w:numPr>
        <w:rPr>
          <w:rFonts w:ascii="Arial" w:hAnsi="Arial" w:cs="Arial"/>
          <w:sz w:val="18"/>
          <w:szCs w:val="18"/>
          <w:lang w:val="hr-HR"/>
        </w:rPr>
      </w:pPr>
      <w:r w:rsidRPr="00F57B05">
        <w:rPr>
          <w:rFonts w:ascii="Arial" w:hAnsi="Arial" w:cs="Arial"/>
          <w:sz w:val="18"/>
          <w:szCs w:val="18"/>
          <w:lang w:val="hr-HR"/>
        </w:rPr>
        <w:t xml:space="preserve">Izvještaja o promjenama u vrijednosti i obujmu imovine i obveza i </w:t>
      </w:r>
    </w:p>
    <w:p w:rsidR="002A7412" w:rsidRPr="00F57B05" w:rsidRDefault="002A7412" w:rsidP="00405539">
      <w:pPr>
        <w:pStyle w:val="NoSpacing"/>
        <w:numPr>
          <w:ilvl w:val="0"/>
          <w:numId w:val="7"/>
        </w:numPr>
        <w:rPr>
          <w:rFonts w:ascii="Arial" w:hAnsi="Arial" w:cs="Arial"/>
          <w:sz w:val="18"/>
          <w:szCs w:val="18"/>
          <w:lang w:val="hr-HR"/>
        </w:rPr>
      </w:pPr>
      <w:r w:rsidRPr="00F57B05">
        <w:rPr>
          <w:rFonts w:ascii="Arial" w:hAnsi="Arial" w:cs="Arial"/>
          <w:sz w:val="18"/>
          <w:szCs w:val="18"/>
          <w:lang w:val="hr-HR"/>
        </w:rPr>
        <w:t>Bilješki uz financijske izvještaje.</w:t>
      </w:r>
    </w:p>
    <w:p w:rsidR="00E934B8" w:rsidRPr="00F57B05" w:rsidRDefault="00EA7A13" w:rsidP="00405539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18"/>
          <w:szCs w:val="18"/>
          <w:lang w:val="hr-HR"/>
        </w:rPr>
      </w:pPr>
      <w:r w:rsidRPr="00F57B05">
        <w:rPr>
          <w:rFonts w:ascii="Arial" w:hAnsi="Arial" w:cs="Arial"/>
          <w:sz w:val="18"/>
          <w:szCs w:val="18"/>
          <w:lang w:val="hr-HR"/>
        </w:rPr>
        <w:t>Obzirom na različite računovodstvene sustave i zbog toga  nemogućnosti usporedbe ostvarenja za 2021.godinu sa  ostvarenjem prethodne godine u bilješkama se ne pojašnjavaju razlozi zbog kojih je došlo do većih odstupanja.</w:t>
      </w:r>
    </w:p>
    <w:p w:rsidR="00D11E0D" w:rsidRPr="00F57B05" w:rsidRDefault="00D11E0D" w:rsidP="00EA7A1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/>
        </w:rPr>
      </w:pPr>
    </w:p>
    <w:p w:rsidR="002A7412" w:rsidRPr="00F57B05" w:rsidRDefault="002A7412" w:rsidP="00EA7A1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/>
        </w:rPr>
      </w:pPr>
    </w:p>
    <w:p w:rsidR="00050B97" w:rsidRDefault="00050B97" w:rsidP="00D11E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:rsidR="00050B97" w:rsidRDefault="00050B97" w:rsidP="00D11E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:rsidR="00050B97" w:rsidRDefault="00050B97" w:rsidP="00D11E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:rsidR="00050B97" w:rsidRDefault="00050B97" w:rsidP="00D11E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:rsidR="00050B97" w:rsidRDefault="00050B97" w:rsidP="00D11E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:rsidR="00050B97" w:rsidRDefault="00050B97" w:rsidP="00D11E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:rsidR="00050B97" w:rsidRDefault="00050B97" w:rsidP="00D11E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:rsidR="00050B97" w:rsidRDefault="00050B97" w:rsidP="00D11E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:rsidR="00050B97" w:rsidRDefault="00050B97" w:rsidP="00D11E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:rsidR="00050B97" w:rsidRDefault="00050B97" w:rsidP="00D11E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:rsidR="00050B97" w:rsidRDefault="00050B97" w:rsidP="00D11E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:rsidR="00D11E0D" w:rsidRDefault="00D11E0D" w:rsidP="00D11E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hr-HR"/>
        </w:rPr>
      </w:pPr>
      <w:r w:rsidRPr="00F57B05">
        <w:rPr>
          <w:rFonts w:ascii="Arial" w:hAnsi="Arial" w:cs="Arial"/>
          <w:b/>
          <w:sz w:val="18"/>
          <w:szCs w:val="18"/>
          <w:lang w:val="hr-HR"/>
        </w:rPr>
        <w:t>BILJEŠKE UZ BILANCU NA DAN 31.12.2021.</w:t>
      </w:r>
    </w:p>
    <w:p w:rsidR="00BA2669" w:rsidRDefault="00BA2669" w:rsidP="00D11E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:rsidR="006E26D8" w:rsidRPr="006E26D8" w:rsidRDefault="006E26D8" w:rsidP="00D11E0D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  <w:r w:rsidRPr="006E26D8">
        <w:rPr>
          <w:rFonts w:ascii="Arial" w:hAnsi="Arial" w:cs="Arial"/>
          <w:sz w:val="18"/>
          <w:szCs w:val="18"/>
          <w:lang w:val="hr-HR"/>
        </w:rPr>
        <w:t>BILJEŠKA</w:t>
      </w:r>
      <w:r w:rsidR="007366D4">
        <w:rPr>
          <w:rFonts w:ascii="Arial" w:hAnsi="Arial" w:cs="Arial"/>
          <w:sz w:val="18"/>
          <w:szCs w:val="18"/>
          <w:lang w:val="hr-HR"/>
        </w:rPr>
        <w:t xml:space="preserve"> 2</w:t>
      </w:r>
    </w:p>
    <w:p w:rsidR="001A68B1" w:rsidRDefault="001A68B1" w:rsidP="00D11E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:rsidR="000A77E3" w:rsidRDefault="000A77E3" w:rsidP="000A77E3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Vrijednost bilance Lučke uprave Rijeka po provedenoj reklasifikaciji iz neprofitnog u proračunski računovodstveni sustav na dan 01.01.2021.godine i prema stanju na dan 31.12.2021.godine prikazana je u sljedećoj tabli</w:t>
      </w:r>
      <w:r w:rsidR="007A3744">
        <w:rPr>
          <w:rFonts w:ascii="Arial" w:hAnsi="Arial" w:cs="Arial"/>
          <w:sz w:val="18"/>
          <w:szCs w:val="18"/>
          <w:lang w:val="hr-HR"/>
        </w:rPr>
        <w:t>ci</w:t>
      </w:r>
      <w:r>
        <w:rPr>
          <w:rFonts w:ascii="Arial" w:hAnsi="Arial" w:cs="Arial"/>
          <w:sz w:val="18"/>
          <w:szCs w:val="18"/>
          <w:lang w:val="hr-HR"/>
        </w:rPr>
        <w:t>.</w:t>
      </w:r>
    </w:p>
    <w:p w:rsidR="000A77E3" w:rsidRPr="000A77E3" w:rsidRDefault="000A77E3" w:rsidP="000A77E3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7"/>
        <w:gridCol w:w="3196"/>
        <w:gridCol w:w="705"/>
        <w:gridCol w:w="1704"/>
        <w:gridCol w:w="1560"/>
        <w:gridCol w:w="1224"/>
      </w:tblGrid>
      <w:tr w:rsidR="00050B97" w:rsidTr="00BB6CEE">
        <w:tc>
          <w:tcPr>
            <w:tcW w:w="627" w:type="dxa"/>
          </w:tcPr>
          <w:p w:rsidR="00050B97" w:rsidRPr="00BB6CEE" w:rsidRDefault="00050B97" w:rsidP="00BB6CEE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hr-HR"/>
              </w:rPr>
            </w:pPr>
            <w:r w:rsidRPr="00BB6CEE">
              <w:rPr>
                <w:rFonts w:ascii="Arial" w:eastAsia="Calibri" w:hAnsi="Arial" w:cs="Arial"/>
                <w:b/>
                <w:sz w:val="18"/>
                <w:szCs w:val="18"/>
                <w:lang w:val="hr-HR"/>
              </w:rPr>
              <w:t>R.br.</w:t>
            </w:r>
          </w:p>
        </w:tc>
        <w:tc>
          <w:tcPr>
            <w:tcW w:w="3196" w:type="dxa"/>
          </w:tcPr>
          <w:p w:rsidR="00050B97" w:rsidRPr="00BB6CEE" w:rsidRDefault="00050B97" w:rsidP="00BB6CEE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hr-HR"/>
              </w:rPr>
            </w:pPr>
            <w:r w:rsidRPr="00BB6CEE">
              <w:rPr>
                <w:rFonts w:ascii="Arial" w:eastAsia="Calibri" w:hAnsi="Arial" w:cs="Arial"/>
                <w:b/>
                <w:sz w:val="18"/>
                <w:szCs w:val="18"/>
                <w:lang w:val="hr-HR"/>
              </w:rPr>
              <w:t>Opis</w:t>
            </w:r>
          </w:p>
        </w:tc>
        <w:tc>
          <w:tcPr>
            <w:tcW w:w="705" w:type="dxa"/>
          </w:tcPr>
          <w:p w:rsidR="00050B97" w:rsidRPr="00BB6CEE" w:rsidRDefault="00BB6CEE" w:rsidP="00BB6CEE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hr-HR"/>
              </w:rPr>
            </w:pPr>
            <w:r w:rsidRPr="00BB6CEE">
              <w:rPr>
                <w:rFonts w:ascii="Arial" w:eastAsia="Calibri" w:hAnsi="Arial" w:cs="Arial"/>
                <w:b/>
                <w:sz w:val="18"/>
                <w:szCs w:val="18"/>
                <w:lang w:val="hr-HR"/>
              </w:rPr>
              <w:t>AOP</w:t>
            </w:r>
          </w:p>
        </w:tc>
        <w:tc>
          <w:tcPr>
            <w:tcW w:w="1704" w:type="dxa"/>
          </w:tcPr>
          <w:p w:rsidR="00050B97" w:rsidRPr="00BB6CEE" w:rsidRDefault="00BB6CEE" w:rsidP="00BB6CEE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hr-HR"/>
              </w:rPr>
            </w:pPr>
            <w:r w:rsidRPr="00BB6CEE">
              <w:rPr>
                <w:rFonts w:ascii="Arial" w:eastAsia="Calibri" w:hAnsi="Arial" w:cs="Arial"/>
                <w:b/>
                <w:sz w:val="18"/>
                <w:szCs w:val="18"/>
                <w:lang w:val="hr-HR"/>
              </w:rPr>
              <w:t>01.01.2021.</w:t>
            </w:r>
          </w:p>
        </w:tc>
        <w:tc>
          <w:tcPr>
            <w:tcW w:w="1560" w:type="dxa"/>
          </w:tcPr>
          <w:p w:rsidR="00050B97" w:rsidRPr="00BB6CEE" w:rsidRDefault="00BB6CEE" w:rsidP="00BB6CEE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hr-HR"/>
              </w:rPr>
            </w:pPr>
            <w:r w:rsidRPr="00BB6CEE">
              <w:rPr>
                <w:rFonts w:ascii="Arial" w:eastAsia="Calibri" w:hAnsi="Arial" w:cs="Arial"/>
                <w:b/>
                <w:sz w:val="18"/>
                <w:szCs w:val="18"/>
                <w:lang w:val="hr-HR"/>
              </w:rPr>
              <w:t>31.12.2021.</w:t>
            </w:r>
          </w:p>
        </w:tc>
        <w:tc>
          <w:tcPr>
            <w:tcW w:w="1224" w:type="dxa"/>
          </w:tcPr>
          <w:p w:rsidR="00BB6CEE" w:rsidRPr="00BB6CEE" w:rsidRDefault="00BB6CEE" w:rsidP="00BB6CEE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hr-HR"/>
              </w:rPr>
            </w:pPr>
            <w:r w:rsidRPr="00BB6CEE">
              <w:rPr>
                <w:rFonts w:ascii="Arial" w:eastAsia="Calibri" w:hAnsi="Arial" w:cs="Arial"/>
                <w:b/>
                <w:sz w:val="18"/>
                <w:szCs w:val="18"/>
                <w:lang w:val="hr-HR"/>
              </w:rPr>
              <w:t>Indeks</w:t>
            </w:r>
          </w:p>
        </w:tc>
      </w:tr>
      <w:tr w:rsidR="00050B97" w:rsidTr="00BB6CEE">
        <w:tc>
          <w:tcPr>
            <w:tcW w:w="627" w:type="dxa"/>
          </w:tcPr>
          <w:p w:rsidR="00050B97" w:rsidRDefault="00BB6CEE" w:rsidP="00EB7554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hr-HR"/>
              </w:rPr>
              <w:t>1.</w:t>
            </w:r>
          </w:p>
        </w:tc>
        <w:tc>
          <w:tcPr>
            <w:tcW w:w="3196" w:type="dxa"/>
          </w:tcPr>
          <w:p w:rsidR="00BB6CEE" w:rsidRDefault="00BB6CEE" w:rsidP="00BB6CEE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hr-HR"/>
              </w:rPr>
              <w:t>Imovina</w:t>
            </w:r>
            <w:r w:rsidR="000A77E3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 / Obveze i vlastiti izvori</w:t>
            </w:r>
          </w:p>
        </w:tc>
        <w:tc>
          <w:tcPr>
            <w:tcW w:w="705" w:type="dxa"/>
          </w:tcPr>
          <w:p w:rsidR="00050B97" w:rsidRDefault="00B97834" w:rsidP="00EB7554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hr-HR"/>
              </w:rPr>
              <w:t>001</w:t>
            </w:r>
          </w:p>
        </w:tc>
        <w:tc>
          <w:tcPr>
            <w:tcW w:w="1704" w:type="dxa"/>
          </w:tcPr>
          <w:p w:rsidR="00050B97" w:rsidRDefault="00BB6CEE" w:rsidP="00EB7554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hr-HR"/>
              </w:rPr>
              <w:t>1.945.597.374</w:t>
            </w:r>
          </w:p>
        </w:tc>
        <w:tc>
          <w:tcPr>
            <w:tcW w:w="1560" w:type="dxa"/>
          </w:tcPr>
          <w:p w:rsidR="00050B97" w:rsidRDefault="006B6228" w:rsidP="00EB7554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6B6228">
              <w:rPr>
                <w:rFonts w:ascii="Arial" w:eastAsia="Calibri" w:hAnsi="Arial" w:cs="Arial"/>
                <w:sz w:val="18"/>
                <w:szCs w:val="18"/>
                <w:lang w:val="hr-HR"/>
              </w:rPr>
              <w:t>2,069,508,641</w:t>
            </w:r>
          </w:p>
        </w:tc>
        <w:tc>
          <w:tcPr>
            <w:tcW w:w="1224" w:type="dxa"/>
          </w:tcPr>
          <w:p w:rsidR="00050B97" w:rsidRDefault="00D06A2C" w:rsidP="00EB7554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hr-HR"/>
              </w:rPr>
              <w:t>106</w:t>
            </w:r>
          </w:p>
        </w:tc>
      </w:tr>
    </w:tbl>
    <w:p w:rsidR="00635ADC" w:rsidRDefault="00635ADC" w:rsidP="00EB7554">
      <w:pPr>
        <w:spacing w:after="200" w:line="276" w:lineRule="auto"/>
        <w:contextualSpacing/>
        <w:jc w:val="center"/>
        <w:rPr>
          <w:rFonts w:ascii="Arial" w:eastAsia="Calibri" w:hAnsi="Arial" w:cs="Arial"/>
          <w:sz w:val="18"/>
          <w:szCs w:val="18"/>
          <w:lang w:val="hr-HR"/>
        </w:rPr>
      </w:pPr>
    </w:p>
    <w:p w:rsidR="00635ADC" w:rsidRPr="00F57B05" w:rsidRDefault="005A23D6" w:rsidP="006E26D8">
      <w:pPr>
        <w:spacing w:after="200" w:line="276" w:lineRule="auto"/>
        <w:contextualSpacing/>
        <w:rPr>
          <w:rFonts w:ascii="Arial" w:eastAsia="Calibri" w:hAnsi="Arial" w:cs="Arial"/>
          <w:sz w:val="18"/>
          <w:szCs w:val="18"/>
          <w:lang w:val="hr-HR"/>
        </w:rPr>
      </w:pPr>
      <w:r>
        <w:rPr>
          <w:rFonts w:ascii="Arial" w:eastAsia="Calibri" w:hAnsi="Arial" w:cs="Arial"/>
          <w:sz w:val="18"/>
          <w:szCs w:val="18"/>
          <w:lang w:val="hr-HR"/>
        </w:rPr>
        <w:t>U imovini Lučke uprave Rijeka je značajno učešće Proizvedene dugotrajne imovine i Dugotrajne nefinancijske imovine u pripremi koje prikazujemo u nastavku.</w:t>
      </w:r>
    </w:p>
    <w:p w:rsidR="00D11E0D" w:rsidRPr="00F57B05" w:rsidRDefault="00D11E0D" w:rsidP="00D11E0D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D11E0D" w:rsidRDefault="00EB7554" w:rsidP="006B5DF6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  <w:r w:rsidRPr="00F57B05">
        <w:rPr>
          <w:rFonts w:ascii="Arial" w:hAnsi="Arial" w:cs="Arial"/>
          <w:sz w:val="18"/>
          <w:szCs w:val="18"/>
          <w:lang w:val="hr-HR"/>
        </w:rPr>
        <w:t xml:space="preserve">BILJEŠKA </w:t>
      </w:r>
      <w:r w:rsidR="007366D4">
        <w:rPr>
          <w:rFonts w:ascii="Arial" w:hAnsi="Arial" w:cs="Arial"/>
          <w:sz w:val="18"/>
          <w:szCs w:val="18"/>
          <w:lang w:val="hr-HR"/>
        </w:rPr>
        <w:t>3</w:t>
      </w:r>
    </w:p>
    <w:p w:rsidR="00E4340D" w:rsidRPr="00F57B05" w:rsidRDefault="00E4340D" w:rsidP="006B5DF6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EB7554" w:rsidRPr="00F57B05" w:rsidRDefault="00EB7554" w:rsidP="00EB7554">
      <w:pPr>
        <w:spacing w:after="200" w:line="276" w:lineRule="auto"/>
        <w:contextualSpacing/>
        <w:jc w:val="center"/>
        <w:rPr>
          <w:rFonts w:ascii="Arial" w:eastAsia="Calibri" w:hAnsi="Arial" w:cs="Arial"/>
          <w:sz w:val="18"/>
          <w:szCs w:val="18"/>
          <w:lang w:val="hr-HR"/>
        </w:rPr>
      </w:pPr>
      <w:r w:rsidRPr="00F57B05">
        <w:rPr>
          <w:rFonts w:ascii="Arial" w:eastAsia="Calibri" w:hAnsi="Arial" w:cs="Arial"/>
          <w:sz w:val="18"/>
          <w:szCs w:val="18"/>
          <w:lang w:val="hr-HR"/>
        </w:rPr>
        <w:t>Proizvedena dugotrajna imovina (AOP 007)</w:t>
      </w:r>
    </w:p>
    <w:p w:rsidR="00635ADC" w:rsidRPr="00F57B05" w:rsidRDefault="004D2823" w:rsidP="00EB7554">
      <w:pPr>
        <w:spacing w:after="200" w:line="276" w:lineRule="auto"/>
        <w:contextualSpacing/>
        <w:jc w:val="center"/>
        <w:rPr>
          <w:rFonts w:ascii="Arial" w:eastAsia="Calibri" w:hAnsi="Arial" w:cs="Arial"/>
          <w:sz w:val="18"/>
          <w:szCs w:val="18"/>
          <w:lang w:val="hr-HR"/>
        </w:rPr>
      </w:pPr>
      <w:r w:rsidRPr="004D2823">
        <w:rPr>
          <w:rFonts w:eastAsia="Calibri"/>
          <w:noProof/>
          <w:lang w:val="hr-HR" w:eastAsia="hr-HR"/>
        </w:rPr>
        <w:drawing>
          <wp:inline distT="0" distB="0" distL="0" distR="0" wp14:anchorId="78B8E105" wp14:editId="4016E0FC">
            <wp:extent cx="5615305" cy="1671955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305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ADC" w:rsidRPr="00F57B05" w:rsidRDefault="00635ADC" w:rsidP="00EB7554">
      <w:pPr>
        <w:spacing w:after="200" w:line="276" w:lineRule="auto"/>
        <w:contextualSpacing/>
        <w:jc w:val="center"/>
        <w:rPr>
          <w:rFonts w:ascii="Arial" w:eastAsia="Calibri" w:hAnsi="Arial" w:cs="Arial"/>
          <w:sz w:val="18"/>
          <w:szCs w:val="18"/>
          <w:lang w:val="hr-HR"/>
        </w:rPr>
      </w:pPr>
    </w:p>
    <w:p w:rsidR="007309EC" w:rsidRDefault="00274706" w:rsidP="00D947E2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hr-HR"/>
        </w:rPr>
      </w:pPr>
      <w:r w:rsidRPr="00274706">
        <w:rPr>
          <w:rFonts w:ascii="Arial" w:eastAsia="Calibri" w:hAnsi="Arial" w:cs="Arial"/>
          <w:sz w:val="18"/>
          <w:szCs w:val="18"/>
          <w:lang w:val="hr-HR"/>
        </w:rPr>
        <w:t xml:space="preserve">Najveće povećanje vrijednosti </w:t>
      </w:r>
      <w:r w:rsidR="001D06D2">
        <w:rPr>
          <w:rFonts w:ascii="Arial" w:eastAsia="Calibri" w:hAnsi="Arial" w:cs="Arial"/>
          <w:sz w:val="18"/>
          <w:szCs w:val="18"/>
          <w:lang w:val="hr-HR"/>
        </w:rPr>
        <w:t xml:space="preserve">dugotrajne </w:t>
      </w:r>
      <w:r w:rsidRPr="00274706">
        <w:rPr>
          <w:rFonts w:ascii="Arial" w:eastAsia="Calibri" w:hAnsi="Arial" w:cs="Arial"/>
          <w:sz w:val="18"/>
          <w:szCs w:val="18"/>
          <w:lang w:val="hr-HR"/>
        </w:rPr>
        <w:t>imovine u 202</w:t>
      </w:r>
      <w:r>
        <w:rPr>
          <w:rFonts w:ascii="Arial" w:eastAsia="Calibri" w:hAnsi="Arial" w:cs="Arial"/>
          <w:sz w:val="18"/>
          <w:szCs w:val="18"/>
          <w:lang w:val="hr-HR"/>
        </w:rPr>
        <w:t>1</w:t>
      </w:r>
      <w:r w:rsidRPr="00274706">
        <w:rPr>
          <w:rFonts w:ascii="Arial" w:eastAsia="Calibri" w:hAnsi="Arial" w:cs="Arial"/>
          <w:sz w:val="18"/>
          <w:szCs w:val="18"/>
          <w:lang w:val="hr-HR"/>
        </w:rPr>
        <w:t xml:space="preserve">. godini odnosi se na </w:t>
      </w:r>
      <w:r>
        <w:rPr>
          <w:rFonts w:ascii="Arial" w:eastAsia="Calibri" w:hAnsi="Arial" w:cs="Arial"/>
          <w:sz w:val="18"/>
          <w:szCs w:val="18"/>
          <w:lang w:val="hr-HR"/>
        </w:rPr>
        <w:t>Građevinske</w:t>
      </w:r>
      <w:r w:rsidRPr="00274706">
        <w:rPr>
          <w:rFonts w:ascii="Arial" w:eastAsia="Calibri" w:hAnsi="Arial" w:cs="Arial"/>
          <w:sz w:val="18"/>
          <w:szCs w:val="18"/>
          <w:lang w:val="hr-HR"/>
        </w:rPr>
        <w:t xml:space="preserve"> objekte  - </w:t>
      </w:r>
      <w:r w:rsidR="007309EC">
        <w:rPr>
          <w:rFonts w:ascii="Arial" w:eastAsia="Calibri" w:hAnsi="Arial" w:cs="Arial"/>
          <w:sz w:val="18"/>
          <w:szCs w:val="18"/>
          <w:lang w:val="hr-HR"/>
        </w:rPr>
        <w:t>134.181.704</w:t>
      </w:r>
      <w:r w:rsidRPr="00274706">
        <w:rPr>
          <w:rFonts w:ascii="Arial" w:eastAsia="Calibri" w:hAnsi="Arial" w:cs="Arial"/>
          <w:sz w:val="18"/>
          <w:szCs w:val="18"/>
          <w:lang w:val="hr-HR"/>
        </w:rPr>
        <w:t xml:space="preserve"> kn, </w:t>
      </w:r>
      <w:r w:rsidR="007309EC">
        <w:rPr>
          <w:rFonts w:ascii="Arial" w:eastAsia="Calibri" w:hAnsi="Arial" w:cs="Arial"/>
          <w:sz w:val="18"/>
          <w:szCs w:val="18"/>
          <w:lang w:val="hr-HR"/>
        </w:rPr>
        <w:t>a na povećanje pozicije Postrojenja i oprema odnosi se 6.549.388 kn.</w:t>
      </w:r>
    </w:p>
    <w:p w:rsidR="007309EC" w:rsidRDefault="00274706" w:rsidP="00D947E2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hr-HR"/>
        </w:rPr>
      </w:pPr>
      <w:r w:rsidRPr="00274706">
        <w:rPr>
          <w:rFonts w:ascii="Arial" w:eastAsia="Calibri" w:hAnsi="Arial" w:cs="Arial"/>
          <w:sz w:val="18"/>
          <w:szCs w:val="18"/>
          <w:lang w:val="hr-HR"/>
        </w:rPr>
        <w:t xml:space="preserve">Navedeno </w:t>
      </w:r>
      <w:r w:rsidR="007309EC">
        <w:rPr>
          <w:rFonts w:ascii="Arial" w:eastAsia="Calibri" w:hAnsi="Arial" w:cs="Arial"/>
          <w:sz w:val="18"/>
          <w:szCs w:val="18"/>
          <w:lang w:val="hr-HR"/>
        </w:rPr>
        <w:t>je rezult</w:t>
      </w:r>
      <w:r w:rsidRPr="00274706">
        <w:rPr>
          <w:rFonts w:ascii="Arial" w:eastAsia="Calibri" w:hAnsi="Arial" w:cs="Arial"/>
          <w:sz w:val="18"/>
          <w:szCs w:val="18"/>
          <w:lang w:val="hr-HR"/>
        </w:rPr>
        <w:t xml:space="preserve">at aktiviranja, odnosno prijenosa u uporabu </w:t>
      </w:r>
      <w:r w:rsidR="00E72DFD">
        <w:rPr>
          <w:rFonts w:ascii="Arial" w:eastAsia="Calibri" w:hAnsi="Arial" w:cs="Arial"/>
          <w:sz w:val="18"/>
          <w:szCs w:val="18"/>
          <w:lang w:val="hr-HR"/>
        </w:rPr>
        <w:t>završenih projekata</w:t>
      </w:r>
      <w:r w:rsidR="00EA2AD0">
        <w:rPr>
          <w:rFonts w:ascii="Arial" w:eastAsia="Calibri" w:hAnsi="Arial" w:cs="Arial"/>
          <w:sz w:val="18"/>
          <w:szCs w:val="18"/>
          <w:lang w:val="hr-HR"/>
        </w:rPr>
        <w:t xml:space="preserve">, a među njima se ističu CEF projekti: Razvoj multimodalne platforme u luci Rijeka i povezivanje s kontejnerskim terminalom Jadranska vrata (POR2CORE AGCT – 64,6 mil.kn) i Unapređenje infrastrukture na terminalu za generalne terete u Raši (POR2CORE GCT – 58 mil.kn). </w:t>
      </w:r>
    </w:p>
    <w:p w:rsidR="00EB7554" w:rsidRPr="00F57B05" w:rsidRDefault="00EB7554" w:rsidP="00EB7554">
      <w:pPr>
        <w:spacing w:after="200" w:line="276" w:lineRule="auto"/>
        <w:contextualSpacing/>
        <w:jc w:val="center"/>
        <w:rPr>
          <w:rFonts w:ascii="Arial" w:eastAsia="Calibri" w:hAnsi="Arial" w:cs="Arial"/>
          <w:sz w:val="18"/>
          <w:szCs w:val="18"/>
          <w:lang w:val="hr-HR"/>
        </w:rPr>
      </w:pPr>
    </w:p>
    <w:p w:rsidR="00EB7554" w:rsidRDefault="007366D4" w:rsidP="00EB7554">
      <w:pPr>
        <w:spacing w:after="200" w:line="276" w:lineRule="auto"/>
        <w:contextualSpacing/>
        <w:jc w:val="center"/>
        <w:rPr>
          <w:rFonts w:ascii="Arial" w:eastAsia="Calibri" w:hAnsi="Arial" w:cs="Arial"/>
          <w:sz w:val="18"/>
          <w:szCs w:val="18"/>
          <w:lang w:val="hr-HR"/>
        </w:rPr>
      </w:pPr>
      <w:r>
        <w:rPr>
          <w:rFonts w:ascii="Arial" w:eastAsia="Calibri" w:hAnsi="Arial" w:cs="Arial"/>
          <w:sz w:val="18"/>
          <w:szCs w:val="18"/>
          <w:lang w:val="hr-HR"/>
        </w:rPr>
        <w:t>BILJEŠKA 4</w:t>
      </w:r>
    </w:p>
    <w:p w:rsidR="00E4340D" w:rsidRPr="00F57B05" w:rsidRDefault="00E4340D" w:rsidP="00EB7554">
      <w:pPr>
        <w:spacing w:after="200" w:line="276" w:lineRule="auto"/>
        <w:contextualSpacing/>
        <w:jc w:val="center"/>
        <w:rPr>
          <w:rFonts w:ascii="Arial" w:eastAsia="Calibri" w:hAnsi="Arial" w:cs="Arial"/>
          <w:sz w:val="18"/>
          <w:szCs w:val="18"/>
          <w:lang w:val="hr-HR"/>
        </w:rPr>
      </w:pPr>
    </w:p>
    <w:p w:rsidR="00EB7554" w:rsidRPr="00F57B05" w:rsidRDefault="00EB7554" w:rsidP="00EB7554">
      <w:pPr>
        <w:spacing w:after="200" w:line="276" w:lineRule="auto"/>
        <w:contextualSpacing/>
        <w:jc w:val="center"/>
        <w:rPr>
          <w:rFonts w:ascii="Arial" w:eastAsia="Calibri" w:hAnsi="Arial" w:cs="Arial"/>
          <w:sz w:val="18"/>
          <w:szCs w:val="18"/>
          <w:lang w:val="hr-HR"/>
        </w:rPr>
      </w:pPr>
      <w:r w:rsidRPr="00F57B05">
        <w:rPr>
          <w:rFonts w:ascii="Arial" w:eastAsia="Calibri" w:hAnsi="Arial" w:cs="Arial"/>
          <w:sz w:val="18"/>
          <w:szCs w:val="18"/>
          <w:lang w:val="hr-HR"/>
        </w:rPr>
        <w:t>Dugotrajna nefinancijska imovina u pripremi (AOP 051)</w:t>
      </w:r>
    </w:p>
    <w:tbl>
      <w:tblPr>
        <w:tblW w:w="8647" w:type="dxa"/>
        <w:tblInd w:w="182" w:type="dxa"/>
        <w:tblLook w:val="04A0" w:firstRow="1" w:lastRow="0" w:firstColumn="1" w:lastColumn="0" w:noHBand="0" w:noVBand="1"/>
      </w:tblPr>
      <w:tblGrid>
        <w:gridCol w:w="2766"/>
        <w:gridCol w:w="1333"/>
        <w:gridCol w:w="1430"/>
        <w:gridCol w:w="1417"/>
        <w:gridCol w:w="1701"/>
      </w:tblGrid>
      <w:tr w:rsidR="005D559F" w:rsidRPr="005D559F" w:rsidTr="00AA136D">
        <w:trPr>
          <w:trHeight w:val="288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59F" w:rsidRPr="005D559F" w:rsidRDefault="005D559F" w:rsidP="005D559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D55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STAVKE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59F" w:rsidRPr="005D559F" w:rsidRDefault="005D559F" w:rsidP="008E73E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D55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1.1. 2021.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59F" w:rsidRPr="005D559F" w:rsidRDefault="005D559F" w:rsidP="005D55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D55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Povećanje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59F" w:rsidRPr="005D559F" w:rsidRDefault="005D559F" w:rsidP="005D55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D55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Smanjenje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59F" w:rsidRPr="005D559F" w:rsidRDefault="005D559F" w:rsidP="005D55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D55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31.12. 2021.</w:t>
            </w:r>
          </w:p>
        </w:tc>
      </w:tr>
      <w:tr w:rsidR="005D559F" w:rsidRPr="005D559F" w:rsidTr="00AA136D">
        <w:trPr>
          <w:trHeight w:val="576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59F" w:rsidRPr="005D559F" w:rsidRDefault="005D559F" w:rsidP="00AA13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59F">
              <w:rPr>
                <w:rFonts w:ascii="Arial" w:hAnsi="Arial" w:cs="Arial"/>
                <w:color w:val="000000"/>
                <w:sz w:val="18"/>
                <w:szCs w:val="18"/>
              </w:rPr>
              <w:t>Građevinski objekti u pripremi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59F" w:rsidRPr="005D559F" w:rsidRDefault="005D559F" w:rsidP="00AA13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59F">
              <w:rPr>
                <w:rFonts w:ascii="Arial" w:hAnsi="Arial" w:cs="Arial"/>
                <w:color w:val="000000"/>
                <w:sz w:val="18"/>
                <w:szCs w:val="18"/>
              </w:rPr>
              <w:t>959,966,016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59F" w:rsidRPr="005D559F" w:rsidRDefault="005D559F" w:rsidP="00AA13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59F">
              <w:rPr>
                <w:rFonts w:ascii="Arial" w:hAnsi="Arial" w:cs="Arial"/>
                <w:color w:val="000000"/>
                <w:sz w:val="18"/>
                <w:szCs w:val="18"/>
              </w:rPr>
              <w:t>148,271,092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59F" w:rsidRPr="005D559F" w:rsidRDefault="005D559F" w:rsidP="00AA13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59F">
              <w:rPr>
                <w:rFonts w:ascii="Arial" w:hAnsi="Arial" w:cs="Arial"/>
                <w:color w:val="000000"/>
                <w:sz w:val="18"/>
                <w:szCs w:val="18"/>
              </w:rPr>
              <w:t>138,560,985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59F" w:rsidRPr="005D559F" w:rsidRDefault="005D559F" w:rsidP="00AA13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59F">
              <w:rPr>
                <w:rFonts w:ascii="Arial" w:hAnsi="Arial" w:cs="Arial"/>
                <w:color w:val="000000"/>
                <w:sz w:val="18"/>
                <w:szCs w:val="18"/>
              </w:rPr>
              <w:t>969,676,123</w:t>
            </w:r>
          </w:p>
        </w:tc>
      </w:tr>
      <w:tr w:rsidR="005D559F" w:rsidRPr="005D559F" w:rsidTr="00AA136D">
        <w:trPr>
          <w:trHeight w:val="576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59F" w:rsidRPr="005D559F" w:rsidRDefault="005D559F" w:rsidP="005D55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59F">
              <w:rPr>
                <w:rFonts w:ascii="Arial" w:hAnsi="Arial" w:cs="Arial"/>
                <w:color w:val="000000"/>
                <w:sz w:val="18"/>
                <w:szCs w:val="18"/>
              </w:rPr>
              <w:t>Postrojenja i oprema u pripremi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59F" w:rsidRPr="005D559F" w:rsidRDefault="005D559F" w:rsidP="005D559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5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59F" w:rsidRPr="005D559F" w:rsidRDefault="005D559F" w:rsidP="005D559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59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2,857,750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59F" w:rsidRPr="005D559F" w:rsidRDefault="005D559F" w:rsidP="005D559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59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2,170,107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59F" w:rsidRPr="005D559F" w:rsidRDefault="005D559F" w:rsidP="005D559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59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687,644 </w:t>
            </w:r>
          </w:p>
        </w:tc>
      </w:tr>
      <w:tr w:rsidR="005D559F" w:rsidRPr="005D559F" w:rsidTr="00AA136D">
        <w:trPr>
          <w:trHeight w:val="576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59F" w:rsidRPr="005D559F" w:rsidRDefault="005D559F" w:rsidP="005D55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59F">
              <w:rPr>
                <w:rFonts w:ascii="Arial" w:hAnsi="Arial" w:cs="Arial"/>
                <w:color w:val="000000"/>
                <w:sz w:val="18"/>
                <w:szCs w:val="18"/>
              </w:rPr>
              <w:t>Ostala proizv. nematerijalna imovina u pripremi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59F" w:rsidRPr="005D559F" w:rsidRDefault="005D559F" w:rsidP="005D559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59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6,400,970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59F" w:rsidRPr="005D559F" w:rsidRDefault="005D559F" w:rsidP="005D559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59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4,533,375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59F" w:rsidRPr="005D559F" w:rsidRDefault="005D559F" w:rsidP="005D559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59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547,688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59F" w:rsidRPr="005D559F" w:rsidRDefault="005D559F" w:rsidP="005D559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59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10,386,658 </w:t>
            </w:r>
          </w:p>
        </w:tc>
      </w:tr>
      <w:tr w:rsidR="005D559F" w:rsidRPr="005D559F" w:rsidTr="00AA136D">
        <w:trPr>
          <w:trHeight w:val="576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59F" w:rsidRPr="005D559F" w:rsidRDefault="005D559F" w:rsidP="005D55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59F">
              <w:rPr>
                <w:rFonts w:ascii="Arial" w:hAnsi="Arial" w:cs="Arial"/>
                <w:color w:val="000000"/>
                <w:sz w:val="18"/>
                <w:szCs w:val="18"/>
              </w:rPr>
              <w:t>Ostala nefinancijska dugotrajna imovina u pripremi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59F" w:rsidRPr="005D559F" w:rsidRDefault="005D559F" w:rsidP="005D559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59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59F" w:rsidRPr="005D559F" w:rsidRDefault="005D559F" w:rsidP="005D559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59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167,264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59F" w:rsidRPr="005D559F" w:rsidRDefault="005D559F" w:rsidP="005D559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59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167,264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59F" w:rsidRPr="005D559F" w:rsidRDefault="005D559F" w:rsidP="005D559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59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-   </w:t>
            </w:r>
          </w:p>
        </w:tc>
      </w:tr>
      <w:tr w:rsidR="005D559F" w:rsidRPr="005D559F" w:rsidTr="00AA136D">
        <w:trPr>
          <w:trHeight w:val="375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59F" w:rsidRPr="005D559F" w:rsidRDefault="005D559F" w:rsidP="005D559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D55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59F" w:rsidRPr="005D559F" w:rsidRDefault="005D559F" w:rsidP="005D559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D55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966,366,986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59F" w:rsidRPr="005D559F" w:rsidRDefault="005D559F" w:rsidP="005D559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D55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155,829,482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59F" w:rsidRPr="005D559F" w:rsidRDefault="005D559F" w:rsidP="005D559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D55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141,446,043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59F" w:rsidRPr="005D559F" w:rsidRDefault="005D559F" w:rsidP="005D559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D55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980,750,424 </w:t>
            </w:r>
          </w:p>
        </w:tc>
      </w:tr>
    </w:tbl>
    <w:p w:rsidR="00AC7CC5" w:rsidRPr="00F57B05" w:rsidRDefault="00AC7CC5" w:rsidP="00EB7554">
      <w:pPr>
        <w:spacing w:after="200" w:line="276" w:lineRule="auto"/>
        <w:contextualSpacing/>
        <w:jc w:val="center"/>
        <w:rPr>
          <w:rFonts w:ascii="Arial" w:eastAsia="Calibri" w:hAnsi="Arial" w:cs="Arial"/>
          <w:sz w:val="18"/>
          <w:szCs w:val="18"/>
          <w:lang w:val="hr-HR"/>
        </w:rPr>
      </w:pPr>
    </w:p>
    <w:p w:rsidR="00AC7CC5" w:rsidRDefault="009B1019" w:rsidP="00D947E2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hr-HR"/>
        </w:rPr>
      </w:pPr>
      <w:r>
        <w:rPr>
          <w:rFonts w:ascii="Arial" w:eastAsia="Calibri" w:hAnsi="Arial" w:cs="Arial"/>
          <w:sz w:val="18"/>
          <w:szCs w:val="18"/>
          <w:lang w:val="hr-HR"/>
        </w:rPr>
        <w:t xml:space="preserve">Povećanje pozicije Građevinskih objekata u pripremi u iznosu od 148.271.092 kn je rezultat izvršenih ulaganja od kojih izdvajamo CEF projekte: </w:t>
      </w:r>
      <w:r w:rsidR="00ED0295">
        <w:rPr>
          <w:rFonts w:ascii="Arial" w:eastAsia="Calibri" w:hAnsi="Arial" w:cs="Arial"/>
          <w:sz w:val="18"/>
          <w:szCs w:val="18"/>
          <w:lang w:val="hr-HR"/>
        </w:rPr>
        <w:t>Unapređenje infrastrukture u luci Rijeka - p</w:t>
      </w:r>
      <w:r>
        <w:rPr>
          <w:rFonts w:ascii="Arial" w:eastAsia="Calibri" w:hAnsi="Arial" w:cs="Arial"/>
          <w:sz w:val="18"/>
          <w:szCs w:val="18"/>
          <w:lang w:val="hr-HR"/>
        </w:rPr>
        <w:t>rodubljenje južnog veza</w:t>
      </w:r>
      <w:r w:rsidR="00ED0295">
        <w:rPr>
          <w:rFonts w:ascii="Arial" w:eastAsia="Calibri" w:hAnsi="Arial" w:cs="Arial"/>
          <w:sz w:val="18"/>
          <w:szCs w:val="18"/>
          <w:lang w:val="hr-HR"/>
        </w:rPr>
        <w:t xml:space="preserve"> AGCT </w:t>
      </w:r>
      <w:r>
        <w:rPr>
          <w:rFonts w:ascii="Arial" w:eastAsia="Calibri" w:hAnsi="Arial" w:cs="Arial"/>
          <w:sz w:val="18"/>
          <w:szCs w:val="18"/>
          <w:lang w:val="hr-HR"/>
        </w:rPr>
        <w:t xml:space="preserve"> (POR2CORE AGCT DREDGING – 76,6 mil.kn) i Unapređenje </w:t>
      </w:r>
      <w:r w:rsidR="00ED0295">
        <w:rPr>
          <w:rFonts w:ascii="Arial" w:eastAsia="Calibri" w:hAnsi="Arial" w:cs="Arial"/>
          <w:sz w:val="18"/>
          <w:szCs w:val="18"/>
          <w:lang w:val="hr-HR"/>
        </w:rPr>
        <w:t>i</w:t>
      </w:r>
      <w:r>
        <w:rPr>
          <w:rFonts w:ascii="Arial" w:eastAsia="Calibri" w:hAnsi="Arial" w:cs="Arial"/>
          <w:sz w:val="18"/>
          <w:szCs w:val="18"/>
          <w:lang w:val="hr-HR"/>
        </w:rPr>
        <w:t xml:space="preserve">nfrastrukture </w:t>
      </w:r>
      <w:r w:rsidR="00ED0295">
        <w:rPr>
          <w:rFonts w:ascii="Arial" w:eastAsia="Calibri" w:hAnsi="Arial" w:cs="Arial"/>
          <w:sz w:val="18"/>
          <w:szCs w:val="18"/>
          <w:lang w:val="hr-HR"/>
        </w:rPr>
        <w:t xml:space="preserve">u luci Rijeka – Zagreb Deep Sea kontejnerski terminal </w:t>
      </w:r>
      <w:r>
        <w:rPr>
          <w:rFonts w:ascii="Arial" w:eastAsia="Calibri" w:hAnsi="Arial" w:cs="Arial"/>
          <w:sz w:val="18"/>
          <w:szCs w:val="18"/>
          <w:lang w:val="hr-HR"/>
        </w:rPr>
        <w:t xml:space="preserve">(POR2CORE ZCT – 37,3 mil.kn). </w:t>
      </w:r>
    </w:p>
    <w:p w:rsidR="009B1019" w:rsidRDefault="009B1019" w:rsidP="00D947E2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hr-HR"/>
        </w:rPr>
      </w:pPr>
      <w:r>
        <w:rPr>
          <w:rFonts w:ascii="Arial" w:eastAsia="Calibri" w:hAnsi="Arial" w:cs="Arial"/>
          <w:sz w:val="18"/>
          <w:szCs w:val="18"/>
          <w:lang w:val="hr-HR"/>
        </w:rPr>
        <w:t>Pored toga, u 2021.godini su evidentirana ulaganja u izgradnju Spojne ceste lučkog područja sa cestom D-403 (8,5 mil.kn) i u ostale građevinske objekte (</w:t>
      </w:r>
      <w:r w:rsidR="00AA18D5">
        <w:rPr>
          <w:rFonts w:ascii="Arial" w:eastAsia="Calibri" w:hAnsi="Arial" w:cs="Arial"/>
          <w:sz w:val="18"/>
          <w:szCs w:val="18"/>
          <w:lang w:val="hr-HR"/>
        </w:rPr>
        <w:t>17,2 mil.kn).</w:t>
      </w:r>
    </w:p>
    <w:p w:rsidR="006E26D8" w:rsidRDefault="006E26D8" w:rsidP="009B1019">
      <w:pPr>
        <w:spacing w:after="200" w:line="276" w:lineRule="auto"/>
        <w:contextualSpacing/>
        <w:rPr>
          <w:rFonts w:ascii="Arial" w:eastAsia="Calibri" w:hAnsi="Arial" w:cs="Arial"/>
          <w:sz w:val="18"/>
          <w:szCs w:val="18"/>
          <w:lang w:val="hr-HR"/>
        </w:rPr>
      </w:pPr>
    </w:p>
    <w:p w:rsidR="006341C6" w:rsidRDefault="006341C6" w:rsidP="00EB7554">
      <w:pPr>
        <w:spacing w:after="200" w:line="276" w:lineRule="auto"/>
        <w:contextualSpacing/>
        <w:jc w:val="center"/>
        <w:rPr>
          <w:rFonts w:ascii="Arial" w:eastAsia="Calibri" w:hAnsi="Arial" w:cs="Arial"/>
          <w:sz w:val="18"/>
          <w:szCs w:val="18"/>
          <w:lang w:val="hr-HR"/>
        </w:rPr>
      </w:pPr>
      <w:r w:rsidRPr="00F57B05">
        <w:rPr>
          <w:rFonts w:ascii="Arial" w:eastAsia="Calibri" w:hAnsi="Arial" w:cs="Arial"/>
          <w:sz w:val="18"/>
          <w:szCs w:val="18"/>
          <w:lang w:val="hr-HR"/>
        </w:rPr>
        <w:lastRenderedPageBreak/>
        <w:t xml:space="preserve">BILJEŠKA </w:t>
      </w:r>
      <w:r w:rsidR="007366D4">
        <w:rPr>
          <w:rFonts w:ascii="Arial" w:eastAsia="Calibri" w:hAnsi="Arial" w:cs="Arial"/>
          <w:sz w:val="18"/>
          <w:szCs w:val="18"/>
          <w:lang w:val="hr-HR"/>
        </w:rPr>
        <w:t>5</w:t>
      </w:r>
    </w:p>
    <w:p w:rsidR="00BA2669" w:rsidRDefault="00BA2669" w:rsidP="00EB7554">
      <w:pPr>
        <w:spacing w:after="200" w:line="276" w:lineRule="auto"/>
        <w:contextualSpacing/>
        <w:jc w:val="center"/>
        <w:rPr>
          <w:rFonts w:ascii="Arial" w:eastAsia="Calibri" w:hAnsi="Arial" w:cs="Arial"/>
          <w:sz w:val="18"/>
          <w:szCs w:val="18"/>
          <w:lang w:val="hr-HR"/>
        </w:rPr>
      </w:pPr>
    </w:p>
    <w:p w:rsidR="00EC0BEC" w:rsidRDefault="00385BEE" w:rsidP="00D947E2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hr-HR"/>
        </w:rPr>
      </w:pPr>
      <w:r>
        <w:rPr>
          <w:rFonts w:ascii="Arial" w:eastAsia="Calibri" w:hAnsi="Arial" w:cs="Arial"/>
          <w:sz w:val="18"/>
          <w:szCs w:val="18"/>
          <w:lang w:val="hr-HR"/>
        </w:rPr>
        <w:t xml:space="preserve">Ukupne obveze za kredite i zajmove Lučke uprave Rijeka na dan 31.12.2021.godine iznose 668.977.724,53 kn i </w:t>
      </w:r>
      <w:r w:rsidR="00EC0BEC">
        <w:rPr>
          <w:rFonts w:ascii="Arial" w:eastAsia="Calibri" w:hAnsi="Arial" w:cs="Arial"/>
          <w:sz w:val="18"/>
          <w:szCs w:val="18"/>
          <w:lang w:val="hr-HR"/>
        </w:rPr>
        <w:t xml:space="preserve"> obuhvaćaju dva dugoročna ino – zajma u otplati: </w:t>
      </w:r>
    </w:p>
    <w:p w:rsidR="00EC0BEC" w:rsidRDefault="00EC0BEC" w:rsidP="00D947E2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hr-HR"/>
        </w:rPr>
      </w:pPr>
      <w:r>
        <w:rPr>
          <w:rFonts w:ascii="Arial" w:eastAsia="Calibri" w:hAnsi="Arial" w:cs="Arial"/>
          <w:sz w:val="18"/>
          <w:szCs w:val="18"/>
          <w:lang w:val="hr-HR"/>
        </w:rPr>
        <w:t xml:space="preserve"> - KOREA EXIMBANK za </w:t>
      </w:r>
      <w:r w:rsidR="00065F15">
        <w:rPr>
          <w:rFonts w:ascii="Arial" w:eastAsia="Calibri" w:hAnsi="Arial" w:cs="Arial"/>
          <w:sz w:val="18"/>
          <w:szCs w:val="18"/>
          <w:lang w:val="hr-HR"/>
        </w:rPr>
        <w:t>P</w:t>
      </w:r>
      <w:r>
        <w:rPr>
          <w:rFonts w:ascii="Arial" w:eastAsia="Calibri" w:hAnsi="Arial" w:cs="Arial"/>
          <w:sz w:val="18"/>
          <w:szCs w:val="18"/>
          <w:lang w:val="hr-HR"/>
        </w:rPr>
        <w:t xml:space="preserve">rojekt SAMSUNG i </w:t>
      </w:r>
    </w:p>
    <w:p w:rsidR="00EC0BEC" w:rsidRDefault="00EC0BEC" w:rsidP="00D947E2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hr-HR"/>
        </w:rPr>
      </w:pPr>
      <w:r>
        <w:rPr>
          <w:rFonts w:ascii="Arial" w:eastAsia="Calibri" w:hAnsi="Arial" w:cs="Arial"/>
          <w:sz w:val="18"/>
          <w:szCs w:val="18"/>
          <w:lang w:val="hr-HR"/>
        </w:rPr>
        <w:t xml:space="preserve"> - IBRD zajam br.7638 HR za </w:t>
      </w:r>
      <w:r w:rsidR="00406ADB">
        <w:rPr>
          <w:rFonts w:ascii="Arial" w:eastAsia="Calibri" w:hAnsi="Arial" w:cs="Arial"/>
          <w:sz w:val="18"/>
          <w:szCs w:val="18"/>
          <w:lang w:val="hr-HR"/>
        </w:rPr>
        <w:t>P</w:t>
      </w:r>
      <w:r>
        <w:rPr>
          <w:rFonts w:ascii="Arial" w:eastAsia="Calibri" w:hAnsi="Arial" w:cs="Arial"/>
          <w:sz w:val="18"/>
          <w:szCs w:val="18"/>
          <w:lang w:val="hr-HR"/>
        </w:rPr>
        <w:t xml:space="preserve">rojekt obnove riječkog prometnog pravca te </w:t>
      </w:r>
    </w:p>
    <w:p w:rsidR="00EC0BEC" w:rsidRDefault="00EC0BEC" w:rsidP="00D947E2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hr-HR"/>
        </w:rPr>
      </w:pPr>
      <w:r>
        <w:rPr>
          <w:rFonts w:ascii="Arial" w:eastAsia="Calibri" w:hAnsi="Arial" w:cs="Arial"/>
          <w:sz w:val="18"/>
          <w:szCs w:val="18"/>
          <w:lang w:val="hr-HR"/>
        </w:rPr>
        <w:t xml:space="preserve">kredit u korištenju Erste &amp; Steiermarkische bank za CEF projekt produbljenja južnog veza </w:t>
      </w:r>
      <w:r w:rsidR="00406ADB">
        <w:rPr>
          <w:rFonts w:ascii="Arial" w:eastAsia="Calibri" w:hAnsi="Arial" w:cs="Arial"/>
          <w:sz w:val="18"/>
          <w:szCs w:val="18"/>
          <w:lang w:val="hr-HR"/>
        </w:rPr>
        <w:t>AGCT.</w:t>
      </w:r>
    </w:p>
    <w:p w:rsidR="009E6DF2" w:rsidRDefault="009E6DF2" w:rsidP="00D947E2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hr-HR"/>
        </w:rPr>
      </w:pPr>
    </w:p>
    <w:p w:rsidR="000A77E3" w:rsidRPr="00EC0BEC" w:rsidRDefault="004D10A2" w:rsidP="00D947E2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  <w:lang w:val="hr-HR"/>
        </w:rPr>
      </w:pPr>
      <w:r>
        <w:rPr>
          <w:rFonts w:ascii="Arial" w:eastAsia="Calibri" w:hAnsi="Arial" w:cs="Arial"/>
          <w:sz w:val="18"/>
          <w:szCs w:val="18"/>
          <w:lang w:val="hr-HR"/>
        </w:rPr>
        <w:t>Da</w:t>
      </w:r>
      <w:r w:rsidR="009E6DF2">
        <w:rPr>
          <w:rFonts w:ascii="Arial" w:eastAsia="Calibri" w:hAnsi="Arial" w:cs="Arial"/>
          <w:sz w:val="18"/>
          <w:szCs w:val="18"/>
          <w:lang w:val="hr-HR"/>
        </w:rPr>
        <w:t>ni zajmovi</w:t>
      </w:r>
      <w:r>
        <w:rPr>
          <w:rFonts w:ascii="Arial" w:eastAsia="Calibri" w:hAnsi="Arial" w:cs="Arial"/>
          <w:sz w:val="18"/>
          <w:szCs w:val="18"/>
          <w:lang w:val="hr-HR"/>
        </w:rPr>
        <w:t xml:space="preserve"> sadrže</w:t>
      </w:r>
      <w:r w:rsidR="009E6DF2">
        <w:rPr>
          <w:rFonts w:ascii="Arial" w:eastAsia="Calibri" w:hAnsi="Arial" w:cs="Arial"/>
          <w:sz w:val="18"/>
          <w:szCs w:val="18"/>
          <w:lang w:val="hr-HR"/>
        </w:rPr>
        <w:t xml:space="preserve"> potraživanja prema tvrtki L</w:t>
      </w:r>
      <w:r w:rsidR="00065F15">
        <w:rPr>
          <w:rFonts w:ascii="Arial" w:eastAsia="Calibri" w:hAnsi="Arial" w:cs="Arial"/>
          <w:sz w:val="18"/>
          <w:szCs w:val="18"/>
          <w:lang w:val="hr-HR"/>
        </w:rPr>
        <w:t xml:space="preserve">uka Rijeka </w:t>
      </w:r>
      <w:r w:rsidR="009E6DF2">
        <w:rPr>
          <w:rFonts w:ascii="Arial" w:eastAsia="Calibri" w:hAnsi="Arial" w:cs="Arial"/>
          <w:sz w:val="18"/>
          <w:szCs w:val="18"/>
          <w:lang w:val="hr-HR"/>
        </w:rPr>
        <w:t>d.d. za naknadu za up</w:t>
      </w:r>
      <w:r w:rsidR="00490B59">
        <w:rPr>
          <w:rFonts w:ascii="Arial" w:eastAsia="Calibri" w:hAnsi="Arial" w:cs="Arial"/>
          <w:sz w:val="18"/>
          <w:szCs w:val="18"/>
          <w:lang w:val="hr-HR"/>
        </w:rPr>
        <w:t xml:space="preserve">orabu mobilnih lučkih dizalica i </w:t>
      </w:r>
      <w:r w:rsidR="009E6DF2">
        <w:rPr>
          <w:rFonts w:ascii="Arial" w:eastAsia="Calibri" w:hAnsi="Arial" w:cs="Arial"/>
          <w:sz w:val="18"/>
          <w:szCs w:val="18"/>
          <w:lang w:val="hr-HR"/>
        </w:rPr>
        <w:t>sukladno Ugovoru o uporabi mobilnih lučkih dizalica u 2021.godini naplaćen je posljednji obrok u kunskoj protuvrijednosti od 304.326,89 USD.</w:t>
      </w:r>
    </w:p>
    <w:p w:rsidR="001C03F6" w:rsidRPr="00F57B05" w:rsidRDefault="006341C6" w:rsidP="00EB7554">
      <w:pPr>
        <w:spacing w:after="200" w:line="276" w:lineRule="auto"/>
        <w:contextualSpacing/>
        <w:jc w:val="center"/>
        <w:rPr>
          <w:rFonts w:ascii="Arial" w:eastAsia="Calibri" w:hAnsi="Arial" w:cs="Arial"/>
          <w:sz w:val="18"/>
          <w:szCs w:val="18"/>
          <w:lang w:val="hr-HR"/>
        </w:rPr>
      </w:pPr>
      <w:r w:rsidRPr="00F57B05">
        <w:rPr>
          <w:rFonts w:ascii="Arial" w:eastAsia="Calibri" w:hAnsi="Arial" w:cs="Arial"/>
          <w:sz w:val="18"/>
          <w:szCs w:val="18"/>
          <w:lang w:val="hr-HR"/>
        </w:rPr>
        <w:t>Pregled stanja i rokova dospijeća kredita i zajmova</w:t>
      </w:r>
    </w:p>
    <w:p w:rsidR="006341C6" w:rsidRPr="00F57B05" w:rsidRDefault="001C03F6" w:rsidP="00EB7554">
      <w:pPr>
        <w:spacing w:after="200" w:line="276" w:lineRule="auto"/>
        <w:contextualSpacing/>
        <w:jc w:val="center"/>
        <w:rPr>
          <w:rFonts w:ascii="Arial" w:eastAsia="Calibri" w:hAnsi="Arial" w:cs="Arial"/>
          <w:sz w:val="18"/>
          <w:szCs w:val="18"/>
          <w:lang w:val="hr-HR"/>
        </w:rPr>
      </w:pPr>
      <w:r w:rsidRPr="00F57B05">
        <w:rPr>
          <w:rFonts w:ascii="Arial" w:eastAsia="Calibri" w:hAnsi="Arial" w:cs="Arial"/>
          <w:sz w:val="18"/>
          <w:szCs w:val="18"/>
          <w:lang w:val="hr-HR"/>
        </w:rPr>
        <w:t>DANI ZAJMOVI I PRIMLJENE OTPLATE</w:t>
      </w:r>
    </w:p>
    <w:p w:rsidR="006341C6" w:rsidRPr="00F57B05" w:rsidRDefault="001C03F6" w:rsidP="00EB7554">
      <w:pPr>
        <w:spacing w:after="200" w:line="276" w:lineRule="auto"/>
        <w:contextualSpacing/>
        <w:jc w:val="center"/>
        <w:rPr>
          <w:rFonts w:ascii="Arial" w:eastAsia="Calibri" w:hAnsi="Arial" w:cs="Arial"/>
          <w:sz w:val="18"/>
          <w:szCs w:val="18"/>
          <w:lang w:val="hr-HR"/>
        </w:rPr>
      </w:pPr>
      <w:r w:rsidRPr="00F57B05">
        <w:rPr>
          <w:rFonts w:ascii="Arial" w:hAnsi="Arial" w:cs="Arial"/>
          <w:noProof/>
          <w:sz w:val="18"/>
          <w:szCs w:val="18"/>
          <w:lang w:val="hr-HR" w:eastAsia="hr-HR"/>
        </w:rPr>
        <w:drawing>
          <wp:inline distT="0" distB="0" distL="0" distR="0" wp14:anchorId="39BCED4A" wp14:editId="1FE802E8">
            <wp:extent cx="5731510" cy="2149911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4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3F6" w:rsidRPr="00F57B05" w:rsidRDefault="001C03F6" w:rsidP="00EB7554">
      <w:pPr>
        <w:spacing w:after="200" w:line="276" w:lineRule="auto"/>
        <w:contextualSpacing/>
        <w:jc w:val="center"/>
        <w:rPr>
          <w:rFonts w:ascii="Arial" w:eastAsia="Calibri" w:hAnsi="Arial" w:cs="Arial"/>
          <w:sz w:val="18"/>
          <w:szCs w:val="18"/>
          <w:lang w:val="hr-HR"/>
        </w:rPr>
      </w:pPr>
    </w:p>
    <w:p w:rsidR="001C03F6" w:rsidRPr="00F57B05" w:rsidRDefault="00987D03" w:rsidP="00EB7554">
      <w:pPr>
        <w:spacing w:after="200" w:line="276" w:lineRule="auto"/>
        <w:contextualSpacing/>
        <w:jc w:val="center"/>
        <w:rPr>
          <w:rFonts w:ascii="Arial" w:eastAsia="Calibri" w:hAnsi="Arial" w:cs="Arial"/>
          <w:sz w:val="18"/>
          <w:szCs w:val="18"/>
          <w:lang w:val="hr-HR"/>
        </w:rPr>
      </w:pPr>
      <w:r w:rsidRPr="00F57B05">
        <w:rPr>
          <w:rFonts w:ascii="Arial" w:eastAsia="Calibri" w:hAnsi="Arial" w:cs="Arial"/>
          <w:sz w:val="18"/>
          <w:szCs w:val="18"/>
          <w:lang w:val="hr-HR"/>
        </w:rPr>
        <w:t>PRIMLJENI KREDITI I ZAJMOVI TE OTPLATE</w:t>
      </w:r>
    </w:p>
    <w:p w:rsidR="00987D03" w:rsidRPr="00F57B05" w:rsidRDefault="00987D03" w:rsidP="00EB7554">
      <w:pPr>
        <w:spacing w:after="200" w:line="276" w:lineRule="auto"/>
        <w:contextualSpacing/>
        <w:jc w:val="center"/>
        <w:rPr>
          <w:rFonts w:ascii="Arial" w:eastAsia="Calibri" w:hAnsi="Arial" w:cs="Arial"/>
          <w:sz w:val="18"/>
          <w:szCs w:val="18"/>
          <w:lang w:val="hr-HR"/>
        </w:rPr>
      </w:pPr>
      <w:r w:rsidRPr="00F57B05">
        <w:rPr>
          <w:rFonts w:ascii="Arial" w:hAnsi="Arial" w:cs="Arial"/>
          <w:noProof/>
          <w:sz w:val="18"/>
          <w:szCs w:val="18"/>
          <w:lang w:val="hr-HR" w:eastAsia="hr-HR"/>
        </w:rPr>
        <w:drawing>
          <wp:inline distT="0" distB="0" distL="0" distR="0" wp14:anchorId="22C43BA6" wp14:editId="5D312013">
            <wp:extent cx="5731510" cy="2286297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8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CB1" w:rsidRPr="00F57B05" w:rsidRDefault="00D37CB1" w:rsidP="00EB7554">
      <w:pPr>
        <w:spacing w:after="200" w:line="276" w:lineRule="auto"/>
        <w:contextualSpacing/>
        <w:jc w:val="center"/>
        <w:rPr>
          <w:rFonts w:ascii="Arial" w:eastAsia="Calibri" w:hAnsi="Arial" w:cs="Arial"/>
          <w:sz w:val="18"/>
          <w:szCs w:val="18"/>
          <w:lang w:val="hr-HR"/>
        </w:rPr>
      </w:pPr>
    </w:p>
    <w:p w:rsidR="00522EC2" w:rsidRPr="00F57B05" w:rsidRDefault="00522EC2" w:rsidP="00EB7554">
      <w:pPr>
        <w:spacing w:after="200" w:line="276" w:lineRule="auto"/>
        <w:contextualSpacing/>
        <w:jc w:val="center"/>
        <w:rPr>
          <w:rFonts w:ascii="Arial" w:eastAsia="Calibri" w:hAnsi="Arial" w:cs="Arial"/>
          <w:sz w:val="18"/>
          <w:szCs w:val="18"/>
          <w:lang w:val="hr-HR"/>
        </w:rPr>
      </w:pPr>
      <w:r w:rsidRPr="00F57B05">
        <w:rPr>
          <w:rFonts w:ascii="Arial" w:eastAsia="Calibri" w:hAnsi="Arial" w:cs="Arial"/>
          <w:sz w:val="18"/>
          <w:szCs w:val="18"/>
          <w:lang w:val="hr-HR"/>
        </w:rPr>
        <w:t>DOSPJELE KAMATE NA KREDITE I ZAJMOVE</w:t>
      </w:r>
    </w:p>
    <w:p w:rsidR="00522EC2" w:rsidRPr="00F57B05" w:rsidRDefault="00522EC2" w:rsidP="00EB7554">
      <w:pPr>
        <w:spacing w:after="200" w:line="276" w:lineRule="auto"/>
        <w:contextualSpacing/>
        <w:jc w:val="center"/>
        <w:rPr>
          <w:rFonts w:ascii="Arial" w:eastAsia="Calibri" w:hAnsi="Arial" w:cs="Arial"/>
          <w:sz w:val="18"/>
          <w:szCs w:val="18"/>
          <w:lang w:val="hr-HR"/>
        </w:rPr>
      </w:pPr>
      <w:r w:rsidRPr="00F57B05">
        <w:rPr>
          <w:rFonts w:ascii="Arial" w:hAnsi="Arial" w:cs="Arial"/>
          <w:noProof/>
          <w:sz w:val="18"/>
          <w:szCs w:val="18"/>
          <w:lang w:val="hr-HR" w:eastAsia="hr-HR"/>
        </w:rPr>
        <w:drawing>
          <wp:inline distT="0" distB="0" distL="0" distR="0" wp14:anchorId="40A871C3" wp14:editId="19211F28">
            <wp:extent cx="5731510" cy="1302343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02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6C2" w:rsidRDefault="00BC66C2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8006EF" w:rsidRPr="00F57B05" w:rsidRDefault="008006EF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8006EF" w:rsidRDefault="0090122C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lastRenderedPageBreak/>
        <w:t>BILJEŠKA</w:t>
      </w:r>
      <w:r w:rsidR="007366D4">
        <w:rPr>
          <w:rFonts w:ascii="Arial" w:hAnsi="Arial" w:cs="Arial"/>
          <w:sz w:val="18"/>
          <w:szCs w:val="18"/>
          <w:lang w:val="hr-HR"/>
        </w:rPr>
        <w:t xml:space="preserve"> 6</w:t>
      </w:r>
    </w:p>
    <w:p w:rsidR="0090122C" w:rsidRPr="00F57B05" w:rsidRDefault="0090122C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8006EF" w:rsidRPr="0090122C" w:rsidRDefault="008006EF" w:rsidP="008006EF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  <w:bookmarkStart w:id="1" w:name="_Toc42168766"/>
      <w:r w:rsidRPr="0090122C">
        <w:rPr>
          <w:rFonts w:ascii="Arial" w:hAnsi="Arial" w:cs="Arial"/>
          <w:sz w:val="18"/>
          <w:szCs w:val="18"/>
          <w:lang w:val="hr-HR"/>
        </w:rPr>
        <w:t>PREGLED UGOVORNIH ODNOSA I SLIČNO KOJI, UZ ISPUNJENJE ODREĐENIH UVJETA, MOGU POSTATI OBVEZA ILI IMOVINA (DANA KREDITNA PISMA, HIPOTEKE, SPOROVI NA SUDU KOJI SU U TIJEKU)</w:t>
      </w:r>
      <w:bookmarkEnd w:id="1"/>
    </w:p>
    <w:p w:rsidR="008006EF" w:rsidRDefault="008006EF" w:rsidP="008006EF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highlight w:val="yellow"/>
          <w:lang w:val="hr-HR"/>
        </w:rPr>
      </w:pPr>
    </w:p>
    <w:p w:rsidR="0090122C" w:rsidRDefault="0090122C" w:rsidP="00D947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/>
        </w:rPr>
      </w:pPr>
      <w:r w:rsidRPr="0090122C">
        <w:rPr>
          <w:rFonts w:ascii="Arial" w:hAnsi="Arial" w:cs="Arial"/>
          <w:sz w:val="18"/>
          <w:szCs w:val="18"/>
          <w:lang w:val="hr-HR"/>
        </w:rPr>
        <w:t>Sukladno članku 14. Pravilnika o financijskom izvještavanju u proračunskom računovodstvu</w:t>
      </w:r>
      <w:r>
        <w:rPr>
          <w:rFonts w:ascii="Arial" w:hAnsi="Arial" w:cs="Arial"/>
          <w:sz w:val="18"/>
          <w:szCs w:val="18"/>
          <w:lang w:val="hr-HR"/>
        </w:rPr>
        <w:t xml:space="preserve"> obvezne Bilješke uz Bilancu su popis ugovornih odnosa koji uz određene uvjete mogu postati obveza ili imovina i  popis sudskih sporova u tijeku. </w:t>
      </w:r>
    </w:p>
    <w:p w:rsidR="00FF4970" w:rsidRDefault="00FF4970" w:rsidP="00D947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/>
        </w:rPr>
      </w:pPr>
    </w:p>
    <w:p w:rsidR="00FF4970" w:rsidRDefault="00FF4970" w:rsidP="00D947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U popis ugovornih odnosa koji uz određene uvjete mogu postati obveza uključujemo:</w:t>
      </w:r>
    </w:p>
    <w:p w:rsidR="00FB093D" w:rsidRDefault="00FB093D" w:rsidP="00D947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/>
        </w:rPr>
      </w:pPr>
    </w:p>
    <w:p w:rsidR="009329EF" w:rsidRDefault="00FF4970" w:rsidP="00D947E2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Ugovor o solidarnom jamstvu br. 5402106974 zaključen između Erste &amp; Steierma</w:t>
      </w:r>
      <w:r w:rsidR="009329EF">
        <w:rPr>
          <w:rFonts w:ascii="Arial" w:hAnsi="Arial" w:cs="Arial"/>
          <w:sz w:val="18"/>
          <w:szCs w:val="18"/>
          <w:lang w:val="hr-HR"/>
        </w:rPr>
        <w:t>r</w:t>
      </w:r>
      <w:r>
        <w:rPr>
          <w:rFonts w:ascii="Arial" w:hAnsi="Arial" w:cs="Arial"/>
          <w:sz w:val="18"/>
          <w:szCs w:val="18"/>
          <w:lang w:val="hr-HR"/>
        </w:rPr>
        <w:t xml:space="preserve">kische banke i Lučke uprave Rijeka </w:t>
      </w:r>
      <w:r w:rsidR="00FB093D">
        <w:rPr>
          <w:rFonts w:ascii="Arial" w:hAnsi="Arial" w:cs="Arial"/>
          <w:sz w:val="18"/>
          <w:szCs w:val="18"/>
          <w:lang w:val="hr-HR"/>
        </w:rPr>
        <w:t xml:space="preserve">(Jamac Platac) </w:t>
      </w:r>
      <w:r>
        <w:rPr>
          <w:rFonts w:ascii="Arial" w:hAnsi="Arial" w:cs="Arial"/>
          <w:sz w:val="18"/>
          <w:szCs w:val="18"/>
          <w:lang w:val="hr-HR"/>
        </w:rPr>
        <w:t xml:space="preserve">02.05.2019.godine </w:t>
      </w:r>
      <w:r w:rsidR="009329EF">
        <w:rPr>
          <w:rFonts w:ascii="Arial" w:hAnsi="Arial" w:cs="Arial"/>
          <w:sz w:val="18"/>
          <w:szCs w:val="18"/>
          <w:lang w:val="hr-HR"/>
        </w:rPr>
        <w:t xml:space="preserve">prema ugovoru o garanciji za pred-financiranje u </w:t>
      </w:r>
      <w:r w:rsidR="008E73EB">
        <w:rPr>
          <w:rFonts w:ascii="Arial" w:hAnsi="Arial" w:cs="Arial"/>
          <w:sz w:val="18"/>
          <w:szCs w:val="18"/>
          <w:lang w:val="hr-HR"/>
        </w:rPr>
        <w:t>korist partnera u projektu (L</w:t>
      </w:r>
      <w:r w:rsidR="00065F15">
        <w:rPr>
          <w:rFonts w:ascii="Arial" w:hAnsi="Arial" w:cs="Arial"/>
          <w:sz w:val="18"/>
          <w:szCs w:val="18"/>
          <w:lang w:val="hr-HR"/>
        </w:rPr>
        <w:t>uka</w:t>
      </w:r>
      <w:r w:rsidR="008E73EB">
        <w:rPr>
          <w:rFonts w:ascii="Arial" w:hAnsi="Arial" w:cs="Arial"/>
          <w:sz w:val="18"/>
          <w:szCs w:val="18"/>
          <w:lang w:val="hr-HR"/>
        </w:rPr>
        <w:t xml:space="preserve"> R</w:t>
      </w:r>
      <w:r w:rsidR="00065F15">
        <w:rPr>
          <w:rFonts w:ascii="Arial" w:hAnsi="Arial" w:cs="Arial"/>
          <w:sz w:val="18"/>
          <w:szCs w:val="18"/>
          <w:lang w:val="hr-HR"/>
        </w:rPr>
        <w:t>ijeka</w:t>
      </w:r>
      <w:r w:rsidR="008E73EB">
        <w:rPr>
          <w:rFonts w:ascii="Arial" w:hAnsi="Arial" w:cs="Arial"/>
          <w:sz w:val="18"/>
          <w:szCs w:val="18"/>
          <w:lang w:val="hr-HR"/>
        </w:rPr>
        <w:t xml:space="preserve"> d.d.) u </w:t>
      </w:r>
      <w:r w:rsidR="009329EF">
        <w:rPr>
          <w:rFonts w:ascii="Arial" w:hAnsi="Arial" w:cs="Arial"/>
          <w:sz w:val="18"/>
          <w:szCs w:val="18"/>
          <w:lang w:val="hr-HR"/>
        </w:rPr>
        <w:t>iznosu od EUR 450.204,95 u okviru CEF projekta unapređenja infrastrukture luke Rijeka u Bazenu Rijeka. R</w:t>
      </w:r>
      <w:r w:rsidR="008E73EB">
        <w:rPr>
          <w:rFonts w:ascii="Arial" w:hAnsi="Arial" w:cs="Arial"/>
          <w:sz w:val="18"/>
          <w:szCs w:val="18"/>
          <w:lang w:val="hr-HR"/>
        </w:rPr>
        <w:t>ok izvedbe projekta je produžen tako da izvedba projekta prema Aneksu 2 Ugovora o dodjeli bespovratnih sredstava (Grant Agreement) traje od 02.10.2017 – 31.05.2023.godine.</w:t>
      </w:r>
    </w:p>
    <w:p w:rsidR="00FF4970" w:rsidRPr="008E73EB" w:rsidRDefault="00FF4970" w:rsidP="00D947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/>
        </w:rPr>
      </w:pPr>
    </w:p>
    <w:p w:rsidR="00FF4970" w:rsidRPr="00D86331" w:rsidRDefault="008E73EB" w:rsidP="00D947E2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/>
        </w:rPr>
      </w:pPr>
      <w:r w:rsidRPr="00D86331">
        <w:rPr>
          <w:rFonts w:ascii="Arial" w:hAnsi="Arial" w:cs="Arial"/>
          <w:sz w:val="18"/>
          <w:szCs w:val="18"/>
          <w:lang w:val="hr-HR"/>
        </w:rPr>
        <w:t xml:space="preserve">Ugovor o solidarnom jamstvu br. </w:t>
      </w:r>
      <w:r w:rsidR="004153CE" w:rsidRPr="00D86331">
        <w:rPr>
          <w:rFonts w:ascii="Arial" w:hAnsi="Arial" w:cs="Arial"/>
          <w:sz w:val="18"/>
          <w:szCs w:val="18"/>
          <w:lang w:val="hr-HR"/>
        </w:rPr>
        <w:t>5402106982 zaključen između Erste &amp; Steiermarkische banke i Lučke uprave Rijeka (Jamac Platac) 02.05.2019.godine prema ugovoru o garanciji za pred-financiranje u korist partnera u projektu (L</w:t>
      </w:r>
      <w:r w:rsidR="00065F15">
        <w:rPr>
          <w:rFonts w:ascii="Arial" w:hAnsi="Arial" w:cs="Arial"/>
          <w:sz w:val="18"/>
          <w:szCs w:val="18"/>
          <w:lang w:val="hr-HR"/>
        </w:rPr>
        <w:t>uka</w:t>
      </w:r>
      <w:r w:rsidR="004153CE" w:rsidRPr="00D86331">
        <w:rPr>
          <w:rFonts w:ascii="Arial" w:hAnsi="Arial" w:cs="Arial"/>
          <w:sz w:val="18"/>
          <w:szCs w:val="18"/>
          <w:lang w:val="hr-HR"/>
        </w:rPr>
        <w:t xml:space="preserve"> R</w:t>
      </w:r>
      <w:r w:rsidR="00065F15">
        <w:rPr>
          <w:rFonts w:ascii="Arial" w:hAnsi="Arial" w:cs="Arial"/>
          <w:sz w:val="18"/>
          <w:szCs w:val="18"/>
          <w:lang w:val="hr-HR"/>
        </w:rPr>
        <w:t>ijeka</w:t>
      </w:r>
      <w:r w:rsidR="004153CE" w:rsidRPr="00D86331">
        <w:rPr>
          <w:rFonts w:ascii="Arial" w:hAnsi="Arial" w:cs="Arial"/>
          <w:sz w:val="18"/>
          <w:szCs w:val="18"/>
          <w:lang w:val="hr-HR"/>
        </w:rPr>
        <w:t xml:space="preserve"> d.d.) u iznosu od EUR 223.995,00 u okviru CEF projekta unapređenja infrastrukture luke Rijeka na terminalu u Bakru. Zahtjevom za plaćanje prihvatljivih troškova ostvarenih do kraja 2020.godine djelomično je pokriven ovaj iznos pred-financiranja i popratna garancija tako da </w:t>
      </w:r>
      <w:r w:rsidR="00B0100D" w:rsidRPr="00D86331">
        <w:rPr>
          <w:rFonts w:ascii="Arial" w:hAnsi="Arial" w:cs="Arial"/>
          <w:sz w:val="18"/>
          <w:szCs w:val="18"/>
          <w:lang w:val="hr-HR"/>
        </w:rPr>
        <w:t>sada iznosi EUR 148.449,00.</w:t>
      </w:r>
    </w:p>
    <w:p w:rsidR="0090122C" w:rsidRDefault="0090122C" w:rsidP="00813EAD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hr-HR"/>
        </w:rPr>
      </w:pPr>
    </w:p>
    <w:p w:rsidR="00813EAD" w:rsidRPr="0090122C" w:rsidRDefault="00813EAD" w:rsidP="00813EAD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Popis sporova koji su u tijeku prikazujemo u sljedećoj tablici:</w:t>
      </w:r>
    </w:p>
    <w:p w:rsidR="008006EF" w:rsidRPr="00F57B05" w:rsidRDefault="008006EF" w:rsidP="008006EF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highlight w:val="yellow"/>
          <w:lang w:val="hr-HR"/>
        </w:rPr>
      </w:pPr>
    </w:p>
    <w:tbl>
      <w:tblPr>
        <w:tblW w:w="90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1"/>
        <w:gridCol w:w="1987"/>
        <w:gridCol w:w="1861"/>
        <w:gridCol w:w="1656"/>
      </w:tblGrid>
      <w:tr w:rsidR="008006EF" w:rsidRPr="00F57B05" w:rsidTr="00897D20">
        <w:trPr>
          <w:trHeight w:val="594"/>
          <w:tblHeader/>
          <w:jc w:val="center"/>
        </w:trPr>
        <w:tc>
          <w:tcPr>
            <w:tcW w:w="3571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6EF" w:rsidRPr="0088788A" w:rsidRDefault="008006EF" w:rsidP="008006E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8788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Aktivni sudski sporovi </w:t>
            </w:r>
          </w:p>
        </w:tc>
        <w:tc>
          <w:tcPr>
            <w:tcW w:w="1987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6EF" w:rsidRPr="0088788A" w:rsidRDefault="008006EF" w:rsidP="008006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8788A">
              <w:rPr>
                <w:rFonts w:ascii="Arial" w:hAnsi="Arial" w:cs="Arial"/>
                <w:bCs/>
                <w:sz w:val="18"/>
                <w:szCs w:val="18"/>
                <w:lang w:val="en-US"/>
              </w:rPr>
              <w:t>Iznos mogućeg potraživanja</w:t>
            </w:r>
            <w:r w:rsidR="004548C1" w:rsidRPr="0088788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u kn</w:t>
            </w:r>
          </w:p>
        </w:tc>
        <w:tc>
          <w:tcPr>
            <w:tcW w:w="1861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6EF" w:rsidRPr="0088788A" w:rsidRDefault="008006EF" w:rsidP="008006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8788A">
              <w:rPr>
                <w:rFonts w:ascii="Arial" w:hAnsi="Arial" w:cs="Arial"/>
                <w:bCs/>
                <w:sz w:val="18"/>
                <w:szCs w:val="18"/>
                <w:lang w:val="en-US"/>
              </w:rPr>
              <w:t>Uvjet nastanka</w:t>
            </w:r>
          </w:p>
        </w:tc>
        <w:tc>
          <w:tcPr>
            <w:tcW w:w="1656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6EF" w:rsidRPr="0088788A" w:rsidRDefault="008006EF" w:rsidP="008006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8788A">
              <w:rPr>
                <w:rFonts w:ascii="Arial" w:hAnsi="Arial" w:cs="Arial"/>
                <w:bCs/>
                <w:sz w:val="18"/>
                <w:szCs w:val="18"/>
                <w:lang w:val="en-US"/>
              </w:rPr>
              <w:t>Vjerojatnost nastanka</w:t>
            </w:r>
          </w:p>
        </w:tc>
      </w:tr>
      <w:tr w:rsidR="008006EF" w:rsidRPr="00F57B05" w:rsidTr="00897D20">
        <w:trPr>
          <w:trHeight w:val="282"/>
          <w:jc w:val="center"/>
        </w:trPr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DC1" w:rsidRPr="004548C1" w:rsidRDefault="008006EF" w:rsidP="009F3D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4548C1">
              <w:rPr>
                <w:rFonts w:ascii="Arial" w:hAnsi="Arial" w:cs="Arial"/>
                <w:sz w:val="18"/>
                <w:szCs w:val="18"/>
                <w:lang w:val="hr-HR"/>
              </w:rPr>
              <w:t>Tuženici – fizičke osobe</w:t>
            </w:r>
            <w:r w:rsidR="009F3DC1">
              <w:rPr>
                <w:rFonts w:ascii="Arial" w:hAnsi="Arial" w:cs="Arial"/>
                <w:sz w:val="18"/>
                <w:szCs w:val="18"/>
                <w:lang w:val="hr-HR"/>
              </w:rPr>
              <w:t xml:space="preserve"> (ovršni postupak)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6EF" w:rsidRPr="004548C1" w:rsidRDefault="004548C1" w:rsidP="00B300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4548C1">
              <w:rPr>
                <w:rFonts w:ascii="Arial" w:hAnsi="Arial" w:cs="Arial"/>
                <w:sz w:val="18"/>
                <w:szCs w:val="18"/>
                <w:lang w:val="hr-HR"/>
              </w:rPr>
              <w:t>4.740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6EF" w:rsidRPr="004548C1" w:rsidRDefault="008006EF" w:rsidP="008006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917E84">
              <w:rPr>
                <w:rFonts w:ascii="Arial" w:hAnsi="Arial" w:cs="Arial"/>
                <w:sz w:val="18"/>
                <w:szCs w:val="18"/>
                <w:lang w:val="hr-HR"/>
              </w:rPr>
              <w:t>P</w:t>
            </w:r>
            <w:r w:rsidR="00917E84" w:rsidRPr="00917E84">
              <w:rPr>
                <w:rFonts w:ascii="Arial" w:hAnsi="Arial" w:cs="Arial"/>
                <w:sz w:val="18"/>
                <w:szCs w:val="18"/>
                <w:lang w:val="hr-HR"/>
              </w:rPr>
              <w:t>ravomoćno rješenje o ovrsi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6EF" w:rsidRPr="00F57B05" w:rsidRDefault="008006EF" w:rsidP="008006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hr-HR"/>
              </w:rPr>
            </w:pPr>
            <w:r w:rsidRPr="00917E84">
              <w:rPr>
                <w:rFonts w:ascii="Arial" w:hAnsi="Arial" w:cs="Arial"/>
                <w:sz w:val="18"/>
                <w:szCs w:val="18"/>
                <w:lang w:val="hr-HR"/>
              </w:rPr>
              <w:t>50 %</w:t>
            </w:r>
          </w:p>
        </w:tc>
      </w:tr>
      <w:tr w:rsidR="008006EF" w:rsidRPr="00F57B05" w:rsidTr="00897D20">
        <w:trPr>
          <w:trHeight w:val="282"/>
          <w:jc w:val="center"/>
        </w:trPr>
        <w:tc>
          <w:tcPr>
            <w:tcW w:w="3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6EF" w:rsidRPr="004548C1" w:rsidRDefault="008006EF" w:rsidP="008006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4548C1">
              <w:rPr>
                <w:rFonts w:ascii="Arial" w:hAnsi="Arial" w:cs="Arial"/>
                <w:sz w:val="18"/>
                <w:szCs w:val="18"/>
                <w:lang w:val="hr-HR"/>
              </w:rPr>
              <w:t>Tuženici – pravne osobe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6EF" w:rsidRPr="004548C1" w:rsidRDefault="008006EF" w:rsidP="004548C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4548C1">
              <w:rPr>
                <w:rFonts w:ascii="Arial" w:hAnsi="Arial" w:cs="Arial"/>
                <w:sz w:val="18"/>
                <w:szCs w:val="18"/>
                <w:lang w:val="hr-HR"/>
              </w:rPr>
              <w:t xml:space="preserve">    </w:t>
            </w:r>
            <w:r w:rsidR="00B30004">
              <w:rPr>
                <w:rFonts w:ascii="Arial" w:hAnsi="Arial" w:cs="Arial"/>
                <w:sz w:val="18"/>
                <w:szCs w:val="18"/>
                <w:lang w:val="hr-HR"/>
              </w:rPr>
              <w:t>0</w:t>
            </w:r>
            <w:r w:rsidRPr="004548C1">
              <w:rPr>
                <w:rFonts w:ascii="Arial" w:hAnsi="Arial" w:cs="Arial"/>
                <w:sz w:val="18"/>
                <w:szCs w:val="18"/>
                <w:lang w:val="hr-HR"/>
              </w:rPr>
              <w:t xml:space="preserve">             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6EF" w:rsidRPr="004548C1" w:rsidRDefault="004548C1" w:rsidP="008006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n/p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6EF" w:rsidRPr="00F57B05" w:rsidRDefault="004548C1" w:rsidP="008006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hr-HR"/>
              </w:rPr>
            </w:pPr>
            <w:r w:rsidRPr="004548C1">
              <w:rPr>
                <w:rFonts w:ascii="Arial" w:hAnsi="Arial" w:cs="Arial"/>
                <w:sz w:val="18"/>
                <w:szCs w:val="18"/>
                <w:lang w:val="hr-HR"/>
              </w:rPr>
              <w:t>n/p</w:t>
            </w:r>
          </w:p>
        </w:tc>
      </w:tr>
      <w:tr w:rsidR="008006EF" w:rsidRPr="0088788A" w:rsidTr="00897D20">
        <w:trPr>
          <w:trHeight w:val="282"/>
          <w:jc w:val="center"/>
        </w:trPr>
        <w:tc>
          <w:tcPr>
            <w:tcW w:w="3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6EF" w:rsidRPr="0088788A" w:rsidRDefault="008006EF" w:rsidP="008006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788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Izvansudske nagodbe 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6EF" w:rsidRPr="0088788A" w:rsidRDefault="00B30004" w:rsidP="004548C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788A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6EF" w:rsidRPr="0088788A" w:rsidRDefault="008006EF" w:rsidP="008006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788A">
              <w:rPr>
                <w:rFonts w:ascii="Arial" w:hAnsi="Arial" w:cs="Arial"/>
                <w:sz w:val="18"/>
                <w:szCs w:val="18"/>
                <w:lang w:val="en-US"/>
              </w:rPr>
              <w:t>n/p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6EF" w:rsidRPr="0088788A" w:rsidRDefault="008006EF" w:rsidP="008006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788A">
              <w:rPr>
                <w:rFonts w:ascii="Arial" w:hAnsi="Arial" w:cs="Arial"/>
                <w:sz w:val="18"/>
                <w:szCs w:val="18"/>
                <w:lang w:val="en-US"/>
              </w:rPr>
              <w:t>n/p</w:t>
            </w:r>
          </w:p>
        </w:tc>
      </w:tr>
      <w:tr w:rsidR="008006EF" w:rsidRPr="0088788A" w:rsidTr="00897D20">
        <w:trPr>
          <w:trHeight w:val="282"/>
          <w:jc w:val="center"/>
        </w:trPr>
        <w:tc>
          <w:tcPr>
            <w:tcW w:w="3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6EF" w:rsidRPr="0088788A" w:rsidRDefault="008006EF" w:rsidP="008006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  <w:lang w:val="en-US"/>
              </w:rPr>
            </w:pPr>
            <w:r w:rsidRPr="0088788A">
              <w:rPr>
                <w:rFonts w:ascii="Arial" w:hAnsi="Arial" w:cs="Arial"/>
                <w:bCs/>
                <w:sz w:val="18"/>
                <w:szCs w:val="18"/>
                <w:lang w:val="en-US"/>
              </w:rPr>
              <w:t>UKUPNO MOGUĆA IMOVINA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8C1" w:rsidRPr="0088788A" w:rsidRDefault="0088788A" w:rsidP="004548C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highlight w:val="yellow"/>
                <w:lang w:val="hr-HR"/>
              </w:rPr>
            </w:pPr>
            <w:r w:rsidRPr="0088788A">
              <w:rPr>
                <w:rFonts w:ascii="Arial" w:hAnsi="Arial" w:cs="Arial"/>
                <w:sz w:val="18"/>
                <w:szCs w:val="18"/>
                <w:lang w:val="hr-HR"/>
              </w:rPr>
              <w:t>4,740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468" w:rsidRDefault="008006EF" w:rsidP="002555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8788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Uvažavajući vjerojatnost nastanka </w:t>
            </w:r>
          </w:p>
          <w:p w:rsidR="008006EF" w:rsidRPr="0088788A" w:rsidRDefault="00255545" w:rsidP="002555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  <w:lang w:val="en-US"/>
              </w:rPr>
            </w:pPr>
            <w:r w:rsidRPr="0088788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2.370 </w:t>
            </w:r>
            <w:r w:rsidR="008006EF" w:rsidRPr="0088788A">
              <w:rPr>
                <w:rFonts w:ascii="Arial" w:hAnsi="Arial" w:cs="Arial"/>
                <w:bCs/>
                <w:sz w:val="18"/>
                <w:szCs w:val="18"/>
                <w:lang w:val="en-US"/>
              </w:rPr>
              <w:t>kn</w:t>
            </w:r>
          </w:p>
        </w:tc>
      </w:tr>
      <w:tr w:rsidR="008006EF" w:rsidRPr="0088788A" w:rsidTr="00897D20">
        <w:trPr>
          <w:trHeight w:val="594"/>
          <w:tblHeader/>
          <w:jc w:val="center"/>
        </w:trPr>
        <w:tc>
          <w:tcPr>
            <w:tcW w:w="3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6EF" w:rsidRPr="0088788A" w:rsidRDefault="008006EF" w:rsidP="008006E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8788A">
              <w:rPr>
                <w:rFonts w:ascii="Arial" w:hAnsi="Arial" w:cs="Arial"/>
                <w:bCs/>
                <w:sz w:val="18"/>
                <w:szCs w:val="18"/>
                <w:lang w:val="en-US"/>
              </w:rPr>
              <w:t>Pasivni sudski sporovi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6EF" w:rsidRPr="0088788A" w:rsidRDefault="008006EF" w:rsidP="008006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8788A">
              <w:rPr>
                <w:rFonts w:ascii="Arial" w:hAnsi="Arial" w:cs="Arial"/>
                <w:bCs/>
                <w:sz w:val="18"/>
                <w:szCs w:val="18"/>
                <w:lang w:val="en-US"/>
              </w:rPr>
              <w:t>Iznos moguće obveze</w:t>
            </w:r>
            <w:r w:rsidR="00813EAD" w:rsidRPr="0088788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u kn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6EF" w:rsidRPr="0088788A" w:rsidRDefault="008006EF" w:rsidP="008006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8788A">
              <w:rPr>
                <w:rFonts w:ascii="Arial" w:hAnsi="Arial" w:cs="Arial"/>
                <w:bCs/>
                <w:sz w:val="18"/>
                <w:szCs w:val="18"/>
                <w:lang w:val="en-US"/>
              </w:rPr>
              <w:t>Uvjet nastanka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6EF" w:rsidRPr="0088788A" w:rsidRDefault="008006EF" w:rsidP="008006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8788A">
              <w:rPr>
                <w:rFonts w:ascii="Arial" w:hAnsi="Arial" w:cs="Arial"/>
                <w:bCs/>
                <w:sz w:val="18"/>
                <w:szCs w:val="18"/>
                <w:lang w:val="en-US"/>
              </w:rPr>
              <w:t>Vjerojatnost nastanka</w:t>
            </w:r>
          </w:p>
        </w:tc>
      </w:tr>
      <w:tr w:rsidR="008006EF" w:rsidRPr="0088788A" w:rsidTr="00897D20">
        <w:trPr>
          <w:trHeight w:val="282"/>
          <w:jc w:val="center"/>
        </w:trPr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6EF" w:rsidRPr="0088788A" w:rsidRDefault="008006EF" w:rsidP="008006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788A">
              <w:rPr>
                <w:rFonts w:ascii="Arial" w:hAnsi="Arial" w:cs="Arial"/>
                <w:sz w:val="18"/>
                <w:szCs w:val="18"/>
                <w:lang w:val="hr-HR"/>
              </w:rPr>
              <w:t>Tužitelji – pravne osobe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6EF" w:rsidRPr="0088788A" w:rsidRDefault="008006EF" w:rsidP="00B300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788A">
              <w:rPr>
                <w:rFonts w:ascii="Arial" w:hAnsi="Arial" w:cs="Arial"/>
                <w:sz w:val="18"/>
                <w:szCs w:val="18"/>
                <w:lang w:val="hr-HR"/>
              </w:rPr>
              <w:t>1.996.303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6EF" w:rsidRPr="0088788A" w:rsidRDefault="008006EF" w:rsidP="008006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788A">
              <w:rPr>
                <w:rFonts w:ascii="Arial" w:hAnsi="Arial" w:cs="Arial"/>
                <w:sz w:val="18"/>
                <w:szCs w:val="18"/>
                <w:lang w:val="hr-HR"/>
              </w:rPr>
              <w:t>Pravomoćne presude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6EF" w:rsidRPr="0088788A" w:rsidRDefault="008006EF" w:rsidP="008006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788A">
              <w:rPr>
                <w:rFonts w:ascii="Arial" w:hAnsi="Arial" w:cs="Arial"/>
                <w:sz w:val="18"/>
                <w:szCs w:val="18"/>
                <w:lang w:val="hr-HR"/>
              </w:rPr>
              <w:t>50 %</w:t>
            </w:r>
          </w:p>
        </w:tc>
      </w:tr>
      <w:tr w:rsidR="008006EF" w:rsidRPr="0088788A" w:rsidTr="00897D20">
        <w:trPr>
          <w:trHeight w:val="282"/>
          <w:jc w:val="center"/>
        </w:trPr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6EF" w:rsidRPr="0088788A" w:rsidRDefault="008006EF" w:rsidP="008006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788A">
              <w:rPr>
                <w:rFonts w:ascii="Arial" w:hAnsi="Arial" w:cs="Arial"/>
                <w:sz w:val="18"/>
                <w:szCs w:val="18"/>
                <w:lang w:val="hr-HR"/>
              </w:rPr>
              <w:t>Tužitelji – pravne osobe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6EF" w:rsidRPr="0088788A" w:rsidRDefault="008006EF" w:rsidP="00B300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788A">
              <w:rPr>
                <w:rFonts w:ascii="Arial" w:hAnsi="Arial" w:cs="Arial"/>
                <w:sz w:val="18"/>
                <w:szCs w:val="18"/>
                <w:lang w:val="hr-HR"/>
              </w:rPr>
              <w:t>7.000.000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6EF" w:rsidRPr="0088788A" w:rsidRDefault="008006EF" w:rsidP="008006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788A">
              <w:rPr>
                <w:rFonts w:ascii="Arial" w:hAnsi="Arial" w:cs="Arial"/>
                <w:sz w:val="18"/>
                <w:szCs w:val="18"/>
                <w:lang w:val="hr-HR"/>
              </w:rPr>
              <w:t>Pravomoćne presude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6EF" w:rsidRPr="0088788A" w:rsidRDefault="008006EF" w:rsidP="008006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788A">
              <w:rPr>
                <w:rFonts w:ascii="Arial" w:hAnsi="Arial" w:cs="Arial"/>
                <w:sz w:val="18"/>
                <w:szCs w:val="18"/>
                <w:lang w:val="hr-HR"/>
              </w:rPr>
              <w:t>10 %</w:t>
            </w:r>
          </w:p>
        </w:tc>
      </w:tr>
      <w:tr w:rsidR="008006EF" w:rsidRPr="0088788A" w:rsidTr="00897D20">
        <w:trPr>
          <w:trHeight w:val="282"/>
          <w:jc w:val="center"/>
        </w:trPr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6EF" w:rsidRPr="0088788A" w:rsidRDefault="008006EF" w:rsidP="008006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788A">
              <w:rPr>
                <w:rFonts w:ascii="Arial" w:hAnsi="Arial" w:cs="Arial"/>
                <w:sz w:val="18"/>
                <w:szCs w:val="18"/>
                <w:lang w:val="hr-HR"/>
              </w:rPr>
              <w:t>Tužitelji – pravne osobe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6EF" w:rsidRPr="0088788A" w:rsidRDefault="008006EF" w:rsidP="00B300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788A">
              <w:rPr>
                <w:rFonts w:ascii="Arial" w:hAnsi="Arial" w:cs="Arial"/>
                <w:sz w:val="18"/>
                <w:szCs w:val="18"/>
                <w:lang w:val="hr-HR"/>
              </w:rPr>
              <w:t>19.084.542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6EF" w:rsidRPr="0088788A" w:rsidRDefault="008006EF" w:rsidP="008006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788A">
              <w:rPr>
                <w:rFonts w:ascii="Arial" w:hAnsi="Arial" w:cs="Arial"/>
                <w:sz w:val="18"/>
                <w:szCs w:val="18"/>
                <w:lang w:val="hr-HR"/>
              </w:rPr>
              <w:t>Pravomoćne presude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6EF" w:rsidRPr="0088788A" w:rsidRDefault="0088788A" w:rsidP="00887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788A">
              <w:rPr>
                <w:rFonts w:ascii="Arial" w:hAnsi="Arial" w:cs="Arial"/>
                <w:sz w:val="18"/>
                <w:szCs w:val="18"/>
                <w:lang w:val="hr-HR"/>
              </w:rPr>
              <w:t>2</w:t>
            </w:r>
            <w:r w:rsidR="008006EF" w:rsidRPr="0088788A">
              <w:rPr>
                <w:rFonts w:ascii="Arial" w:hAnsi="Arial" w:cs="Arial"/>
                <w:sz w:val="18"/>
                <w:szCs w:val="18"/>
                <w:lang w:val="hr-HR"/>
              </w:rPr>
              <w:t>0 %</w:t>
            </w:r>
          </w:p>
        </w:tc>
      </w:tr>
      <w:tr w:rsidR="008006EF" w:rsidRPr="0088788A" w:rsidTr="00897D20">
        <w:trPr>
          <w:trHeight w:val="282"/>
          <w:jc w:val="center"/>
        </w:trPr>
        <w:tc>
          <w:tcPr>
            <w:tcW w:w="3571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6EF" w:rsidRPr="0088788A" w:rsidRDefault="008006EF" w:rsidP="008006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8788A">
              <w:rPr>
                <w:rFonts w:ascii="Arial" w:hAnsi="Arial" w:cs="Arial"/>
                <w:bCs/>
                <w:sz w:val="18"/>
                <w:szCs w:val="18"/>
                <w:lang w:val="en-US"/>
              </w:rPr>
              <w:t>UKUPNO MOGUĆA OBVEZA</w:t>
            </w:r>
          </w:p>
        </w:tc>
        <w:tc>
          <w:tcPr>
            <w:tcW w:w="198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6EF" w:rsidRPr="0088788A" w:rsidRDefault="00B30004" w:rsidP="00B300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8788A">
              <w:rPr>
                <w:rFonts w:ascii="Arial" w:hAnsi="Arial" w:cs="Arial"/>
                <w:bCs/>
                <w:sz w:val="18"/>
                <w:szCs w:val="18"/>
                <w:lang w:val="en-US"/>
              </w:rPr>
              <w:t>28.0</w:t>
            </w:r>
            <w:r w:rsidR="008006EF" w:rsidRPr="0088788A">
              <w:rPr>
                <w:rFonts w:ascii="Arial" w:hAnsi="Arial" w:cs="Arial"/>
                <w:bCs/>
                <w:sz w:val="18"/>
                <w:szCs w:val="18"/>
                <w:lang w:val="en-US"/>
              </w:rPr>
              <w:t>80.845</w:t>
            </w:r>
          </w:p>
        </w:tc>
        <w:tc>
          <w:tcPr>
            <w:tcW w:w="3517" w:type="dxa"/>
            <w:gridSpan w:val="2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6EF" w:rsidRPr="0088788A" w:rsidRDefault="008006EF" w:rsidP="008006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8788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    Uvažavajući vjerojatnost nastanka</w:t>
            </w:r>
          </w:p>
          <w:p w:rsidR="008006EF" w:rsidRPr="0088788A" w:rsidRDefault="008006EF" w:rsidP="008006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8788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                        5.515.060</w:t>
            </w:r>
            <w:r w:rsidR="0088788A" w:rsidRPr="0088788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kn</w:t>
            </w:r>
          </w:p>
        </w:tc>
      </w:tr>
    </w:tbl>
    <w:p w:rsidR="008006EF" w:rsidRPr="0088788A" w:rsidRDefault="008006EF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EC45BB" w:rsidRDefault="00EC45BB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D86331" w:rsidRDefault="00D86331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D86331" w:rsidRDefault="00D86331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D86331" w:rsidRDefault="00D86331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D86331" w:rsidRDefault="00D86331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D86331" w:rsidRDefault="00D86331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6E26D8" w:rsidRDefault="006E26D8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6E26D8" w:rsidRDefault="006E26D8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6E26D8" w:rsidRDefault="006E26D8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D86331" w:rsidRDefault="00D86331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D86331" w:rsidRDefault="00D86331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D86331" w:rsidRDefault="00D86331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3C44DE" w:rsidRDefault="003C44DE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7366D4" w:rsidRDefault="007366D4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D86331" w:rsidRDefault="00D86331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D86331" w:rsidRDefault="00D86331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D86331" w:rsidRPr="00F57B05" w:rsidRDefault="00D86331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E934B8" w:rsidRPr="00F57B05" w:rsidRDefault="00E934B8" w:rsidP="00E934B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hr-HR"/>
        </w:rPr>
      </w:pPr>
      <w:r w:rsidRPr="00F57B05">
        <w:rPr>
          <w:rFonts w:ascii="Arial" w:hAnsi="Arial" w:cs="Arial"/>
          <w:b/>
          <w:sz w:val="18"/>
          <w:szCs w:val="18"/>
          <w:lang w:val="hr-HR"/>
        </w:rPr>
        <w:lastRenderedPageBreak/>
        <w:t xml:space="preserve">BILJEŠKE UZ IZVJEŠTAJ O PRIHODIMA I RASHODIMA, PRIMICIMA I IZDACIMA </w:t>
      </w:r>
    </w:p>
    <w:p w:rsidR="00E934B8" w:rsidRPr="00F57B05" w:rsidRDefault="00E934B8" w:rsidP="00E934B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:rsidR="00A51DDD" w:rsidRPr="00F57B05" w:rsidRDefault="00E934B8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  <w:r w:rsidRPr="00F57B05">
        <w:rPr>
          <w:rFonts w:ascii="Arial" w:hAnsi="Arial" w:cs="Arial"/>
          <w:sz w:val="18"/>
          <w:szCs w:val="18"/>
          <w:lang w:val="hr-HR"/>
        </w:rPr>
        <w:t>BILJEŠKA</w:t>
      </w:r>
      <w:r w:rsidR="007366D4">
        <w:rPr>
          <w:rFonts w:ascii="Arial" w:hAnsi="Arial" w:cs="Arial"/>
          <w:sz w:val="18"/>
          <w:szCs w:val="18"/>
          <w:lang w:val="hr-HR"/>
        </w:rPr>
        <w:t xml:space="preserve"> 7</w:t>
      </w:r>
    </w:p>
    <w:p w:rsidR="002C7033" w:rsidRDefault="002C7033" w:rsidP="00A51DDD">
      <w:pPr>
        <w:ind w:firstLine="720"/>
        <w:jc w:val="both"/>
        <w:rPr>
          <w:rFonts w:ascii="Arial" w:hAnsi="Arial" w:cs="Arial"/>
          <w:sz w:val="18"/>
          <w:szCs w:val="18"/>
          <w:lang w:val="hr-HR" w:eastAsia="hr-HR"/>
        </w:rPr>
      </w:pPr>
    </w:p>
    <w:p w:rsidR="002C7033" w:rsidRDefault="002C7033" w:rsidP="00B7285F">
      <w:pPr>
        <w:jc w:val="both"/>
        <w:rPr>
          <w:rFonts w:ascii="Arial" w:hAnsi="Arial" w:cs="Arial"/>
          <w:sz w:val="18"/>
          <w:szCs w:val="18"/>
          <w:lang w:val="hr-HR" w:eastAsia="hr-HR"/>
        </w:rPr>
      </w:pPr>
      <w:r>
        <w:rPr>
          <w:rFonts w:ascii="Arial" w:hAnsi="Arial" w:cs="Arial"/>
          <w:sz w:val="18"/>
          <w:szCs w:val="18"/>
          <w:lang w:val="hr-HR" w:eastAsia="hr-HR"/>
        </w:rPr>
        <w:t xml:space="preserve">U Izvještaju o prihodima i rashodima, primicima i izdacima za 2021.godinu iskazani su: </w:t>
      </w:r>
    </w:p>
    <w:p w:rsidR="002C7033" w:rsidRDefault="002C7033" w:rsidP="00A51DDD">
      <w:pPr>
        <w:ind w:firstLine="720"/>
        <w:jc w:val="both"/>
        <w:rPr>
          <w:rFonts w:ascii="Arial" w:hAnsi="Arial" w:cs="Arial"/>
          <w:sz w:val="18"/>
          <w:szCs w:val="18"/>
          <w:lang w:val="hr-HR" w:eastAsia="hr-HR"/>
        </w:rPr>
      </w:pPr>
    </w:p>
    <w:p w:rsidR="002C7033" w:rsidRDefault="00A51DDD" w:rsidP="002C7033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  <w:lang w:val="hr-HR" w:eastAsia="hr-HR"/>
        </w:rPr>
      </w:pPr>
      <w:r w:rsidRPr="002C7033">
        <w:rPr>
          <w:rFonts w:ascii="Arial" w:hAnsi="Arial" w:cs="Arial"/>
          <w:sz w:val="18"/>
          <w:szCs w:val="18"/>
          <w:lang w:val="hr-HR" w:eastAsia="hr-HR"/>
        </w:rPr>
        <w:t>Ukupni prihodi poslovanja</w:t>
      </w:r>
      <w:r w:rsidR="002C7033">
        <w:rPr>
          <w:rFonts w:ascii="Arial" w:hAnsi="Arial" w:cs="Arial"/>
          <w:sz w:val="18"/>
          <w:szCs w:val="18"/>
          <w:lang w:val="hr-HR" w:eastAsia="hr-HR"/>
        </w:rPr>
        <w:t xml:space="preserve"> </w:t>
      </w:r>
      <w:r w:rsidR="002C7033" w:rsidRPr="00F247A2">
        <w:rPr>
          <w:rFonts w:ascii="Arial" w:hAnsi="Arial" w:cs="Arial"/>
          <w:sz w:val="18"/>
          <w:szCs w:val="18"/>
          <w:lang w:val="hr-HR" w:eastAsia="hr-HR"/>
        </w:rPr>
        <w:t>(</w:t>
      </w:r>
      <w:r w:rsidR="008605A0" w:rsidRPr="00F247A2">
        <w:rPr>
          <w:rFonts w:ascii="Arial" w:hAnsi="Arial" w:cs="Arial"/>
          <w:sz w:val="18"/>
          <w:szCs w:val="18"/>
          <w:lang w:val="hr-HR" w:eastAsia="hr-HR"/>
        </w:rPr>
        <w:t xml:space="preserve">klasa 6 - </w:t>
      </w:r>
      <w:r w:rsidR="002C7033" w:rsidRPr="00F247A2">
        <w:rPr>
          <w:rFonts w:ascii="Arial" w:hAnsi="Arial" w:cs="Arial"/>
          <w:sz w:val="18"/>
          <w:szCs w:val="18"/>
          <w:lang w:val="hr-HR" w:eastAsia="hr-HR"/>
        </w:rPr>
        <w:t>AOP</w:t>
      </w:r>
      <w:r w:rsidR="002C7033">
        <w:rPr>
          <w:rFonts w:ascii="Arial" w:hAnsi="Arial" w:cs="Arial"/>
          <w:sz w:val="18"/>
          <w:szCs w:val="18"/>
          <w:lang w:val="hr-HR" w:eastAsia="hr-HR"/>
        </w:rPr>
        <w:t xml:space="preserve"> </w:t>
      </w:r>
      <w:r w:rsidR="00F247A2">
        <w:rPr>
          <w:rFonts w:ascii="Arial" w:hAnsi="Arial" w:cs="Arial"/>
          <w:sz w:val="18"/>
          <w:szCs w:val="18"/>
          <w:lang w:val="hr-HR" w:eastAsia="hr-HR"/>
        </w:rPr>
        <w:t>001</w:t>
      </w:r>
      <w:r w:rsidR="002C7033">
        <w:rPr>
          <w:rFonts w:ascii="Arial" w:hAnsi="Arial" w:cs="Arial"/>
          <w:sz w:val="18"/>
          <w:szCs w:val="18"/>
          <w:lang w:val="hr-HR" w:eastAsia="hr-HR"/>
        </w:rPr>
        <w:t xml:space="preserve">) </w:t>
      </w:r>
      <w:r w:rsidRPr="002C7033">
        <w:rPr>
          <w:rFonts w:ascii="Arial" w:hAnsi="Arial" w:cs="Arial"/>
          <w:sz w:val="18"/>
          <w:szCs w:val="18"/>
          <w:lang w:val="hr-HR" w:eastAsia="hr-HR"/>
        </w:rPr>
        <w:t xml:space="preserve"> u iznos</w:t>
      </w:r>
      <w:r w:rsidR="002C7033">
        <w:rPr>
          <w:rFonts w:ascii="Arial" w:hAnsi="Arial" w:cs="Arial"/>
          <w:sz w:val="18"/>
          <w:szCs w:val="18"/>
          <w:lang w:val="hr-HR" w:eastAsia="hr-HR"/>
        </w:rPr>
        <w:t xml:space="preserve">u od </w:t>
      </w:r>
      <w:r w:rsidR="00D02D3F">
        <w:rPr>
          <w:rFonts w:ascii="Arial" w:hAnsi="Arial" w:cs="Arial"/>
          <w:sz w:val="18"/>
          <w:szCs w:val="18"/>
          <w:lang w:val="hr-HR" w:eastAsia="hr-HR"/>
        </w:rPr>
        <w:tab/>
      </w:r>
      <w:r w:rsidR="00D02D3F">
        <w:rPr>
          <w:rFonts w:ascii="Arial" w:hAnsi="Arial" w:cs="Arial"/>
          <w:sz w:val="18"/>
          <w:szCs w:val="18"/>
          <w:lang w:val="hr-HR" w:eastAsia="hr-HR"/>
        </w:rPr>
        <w:tab/>
      </w:r>
      <w:r w:rsidR="002C4E01">
        <w:rPr>
          <w:rFonts w:ascii="Arial" w:hAnsi="Arial" w:cs="Arial"/>
          <w:sz w:val="18"/>
          <w:szCs w:val="18"/>
          <w:lang w:val="hr-HR" w:eastAsia="hr-HR"/>
        </w:rPr>
        <w:t>260.83</w:t>
      </w:r>
      <w:r w:rsidR="00F247A2">
        <w:rPr>
          <w:rFonts w:ascii="Arial" w:hAnsi="Arial" w:cs="Arial"/>
          <w:sz w:val="18"/>
          <w:szCs w:val="18"/>
          <w:lang w:val="hr-HR" w:eastAsia="hr-HR"/>
        </w:rPr>
        <w:t>4</w:t>
      </w:r>
      <w:r w:rsidR="002C4E01">
        <w:rPr>
          <w:rFonts w:ascii="Arial" w:hAnsi="Arial" w:cs="Arial"/>
          <w:sz w:val="18"/>
          <w:szCs w:val="18"/>
          <w:lang w:val="hr-HR" w:eastAsia="hr-HR"/>
        </w:rPr>
        <w:t>.6</w:t>
      </w:r>
      <w:r w:rsidR="00F247A2">
        <w:rPr>
          <w:rFonts w:ascii="Arial" w:hAnsi="Arial" w:cs="Arial"/>
          <w:sz w:val="18"/>
          <w:szCs w:val="18"/>
          <w:lang w:val="hr-HR" w:eastAsia="hr-HR"/>
        </w:rPr>
        <w:t>14</w:t>
      </w:r>
      <w:r w:rsidR="002C4E01">
        <w:rPr>
          <w:rFonts w:ascii="Arial" w:hAnsi="Arial" w:cs="Arial"/>
          <w:sz w:val="18"/>
          <w:szCs w:val="18"/>
          <w:lang w:val="hr-HR" w:eastAsia="hr-HR"/>
        </w:rPr>
        <w:t>,</w:t>
      </w:r>
      <w:r w:rsidR="00F247A2">
        <w:rPr>
          <w:rFonts w:ascii="Arial" w:hAnsi="Arial" w:cs="Arial"/>
          <w:sz w:val="18"/>
          <w:szCs w:val="18"/>
          <w:lang w:val="hr-HR" w:eastAsia="hr-HR"/>
        </w:rPr>
        <w:t>22</w:t>
      </w:r>
      <w:r w:rsidRPr="002C7033">
        <w:rPr>
          <w:rFonts w:ascii="Arial" w:hAnsi="Arial" w:cs="Arial"/>
          <w:sz w:val="18"/>
          <w:szCs w:val="18"/>
          <w:lang w:val="hr-HR" w:eastAsia="hr-HR"/>
        </w:rPr>
        <w:t xml:space="preserve"> kn</w:t>
      </w:r>
    </w:p>
    <w:p w:rsidR="002C7033" w:rsidRPr="00C15C8F" w:rsidRDefault="002C7033" w:rsidP="002C7033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  <w:lang w:val="hr-HR" w:eastAsia="hr-HR"/>
        </w:rPr>
      </w:pPr>
      <w:r>
        <w:rPr>
          <w:rFonts w:ascii="Arial" w:hAnsi="Arial" w:cs="Arial"/>
          <w:sz w:val="18"/>
          <w:szCs w:val="18"/>
          <w:lang w:val="hr-HR" w:eastAsia="hr-HR"/>
        </w:rPr>
        <w:t>Ukupni rashodi poslovanja (</w:t>
      </w:r>
      <w:r w:rsidR="008605A0">
        <w:rPr>
          <w:rFonts w:ascii="Arial" w:hAnsi="Arial" w:cs="Arial"/>
          <w:sz w:val="18"/>
          <w:szCs w:val="18"/>
          <w:lang w:val="hr-HR" w:eastAsia="hr-HR"/>
        </w:rPr>
        <w:t xml:space="preserve">klasa 3 </w:t>
      </w:r>
      <w:r w:rsidR="00F247A2" w:rsidRPr="00F247A2">
        <w:rPr>
          <w:rFonts w:ascii="Arial" w:hAnsi="Arial" w:cs="Arial"/>
          <w:sz w:val="18"/>
          <w:szCs w:val="18"/>
          <w:lang w:val="hr-HR" w:eastAsia="hr-HR"/>
        </w:rPr>
        <w:t>–</w:t>
      </w:r>
      <w:r w:rsidR="008605A0" w:rsidRPr="00F247A2">
        <w:rPr>
          <w:rFonts w:ascii="Arial" w:hAnsi="Arial" w:cs="Arial"/>
          <w:sz w:val="18"/>
          <w:szCs w:val="18"/>
          <w:lang w:val="hr-HR" w:eastAsia="hr-HR"/>
        </w:rPr>
        <w:t xml:space="preserve"> </w:t>
      </w:r>
      <w:r w:rsidRPr="00F247A2">
        <w:rPr>
          <w:rFonts w:ascii="Arial" w:hAnsi="Arial" w:cs="Arial"/>
          <w:sz w:val="18"/>
          <w:szCs w:val="18"/>
          <w:lang w:val="hr-HR" w:eastAsia="hr-HR"/>
        </w:rPr>
        <w:t>AOP</w:t>
      </w:r>
      <w:r w:rsidR="00F247A2">
        <w:rPr>
          <w:rFonts w:ascii="Arial" w:hAnsi="Arial" w:cs="Arial"/>
          <w:sz w:val="18"/>
          <w:szCs w:val="18"/>
          <w:lang w:val="hr-HR" w:eastAsia="hr-HR"/>
        </w:rPr>
        <w:t xml:space="preserve"> 146</w:t>
      </w:r>
      <w:r>
        <w:rPr>
          <w:rFonts w:ascii="Arial" w:hAnsi="Arial" w:cs="Arial"/>
          <w:sz w:val="18"/>
          <w:szCs w:val="18"/>
          <w:lang w:val="hr-HR" w:eastAsia="hr-HR"/>
        </w:rPr>
        <w:t xml:space="preserve"> ) u iznosu od</w:t>
      </w:r>
      <w:r>
        <w:rPr>
          <w:rFonts w:ascii="Arial" w:hAnsi="Arial" w:cs="Arial"/>
          <w:sz w:val="18"/>
          <w:szCs w:val="18"/>
          <w:lang w:val="hr-HR" w:eastAsia="hr-HR"/>
        </w:rPr>
        <w:tab/>
      </w:r>
      <w:r w:rsidR="00D02D3F">
        <w:rPr>
          <w:rFonts w:ascii="Arial" w:hAnsi="Arial" w:cs="Arial"/>
          <w:sz w:val="18"/>
          <w:szCs w:val="18"/>
          <w:lang w:val="hr-HR" w:eastAsia="hr-HR"/>
        </w:rPr>
        <w:tab/>
      </w:r>
      <w:r w:rsidR="002B358B">
        <w:rPr>
          <w:rFonts w:ascii="Arial" w:hAnsi="Arial" w:cs="Arial"/>
          <w:sz w:val="18"/>
          <w:szCs w:val="18"/>
          <w:lang w:val="hr-HR" w:eastAsia="hr-HR"/>
        </w:rPr>
        <w:t>107.375.332,</w:t>
      </w:r>
      <w:r w:rsidR="00C43B4E">
        <w:rPr>
          <w:rFonts w:ascii="Arial" w:hAnsi="Arial" w:cs="Arial"/>
          <w:sz w:val="18"/>
          <w:szCs w:val="18"/>
          <w:lang w:val="hr-HR" w:eastAsia="hr-HR"/>
        </w:rPr>
        <w:t>2</w:t>
      </w:r>
      <w:r w:rsidR="002B358B">
        <w:rPr>
          <w:rFonts w:ascii="Arial" w:hAnsi="Arial" w:cs="Arial"/>
          <w:sz w:val="18"/>
          <w:szCs w:val="18"/>
          <w:lang w:val="hr-HR" w:eastAsia="hr-HR"/>
        </w:rPr>
        <w:t xml:space="preserve">9 </w:t>
      </w:r>
      <w:r>
        <w:rPr>
          <w:rFonts w:ascii="Arial" w:hAnsi="Arial" w:cs="Arial"/>
          <w:sz w:val="18"/>
          <w:szCs w:val="18"/>
          <w:lang w:val="hr-HR" w:eastAsia="hr-HR"/>
        </w:rPr>
        <w:t>kn</w:t>
      </w:r>
    </w:p>
    <w:p w:rsidR="002C7033" w:rsidRDefault="002C7033" w:rsidP="002C7033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  <w:lang w:val="hr-HR" w:eastAsia="hr-HR"/>
        </w:rPr>
      </w:pPr>
      <w:r>
        <w:rPr>
          <w:rFonts w:ascii="Arial" w:hAnsi="Arial" w:cs="Arial"/>
          <w:sz w:val="18"/>
          <w:szCs w:val="18"/>
          <w:lang w:val="hr-HR" w:eastAsia="hr-HR"/>
        </w:rPr>
        <w:t>Ukupni prihodi od prodaje nefinancijske imovine (</w:t>
      </w:r>
      <w:r w:rsidR="008605A0">
        <w:rPr>
          <w:rFonts w:ascii="Arial" w:hAnsi="Arial" w:cs="Arial"/>
          <w:sz w:val="18"/>
          <w:szCs w:val="18"/>
          <w:lang w:val="hr-HR" w:eastAsia="hr-HR"/>
        </w:rPr>
        <w:t xml:space="preserve">klasa 7 </w:t>
      </w:r>
      <w:r w:rsidR="008605A0" w:rsidRPr="00F247A2">
        <w:rPr>
          <w:rFonts w:ascii="Arial" w:hAnsi="Arial" w:cs="Arial"/>
          <w:sz w:val="18"/>
          <w:szCs w:val="18"/>
          <w:lang w:val="hr-HR" w:eastAsia="hr-HR"/>
        </w:rPr>
        <w:t xml:space="preserve">- </w:t>
      </w:r>
      <w:r w:rsidRPr="00F247A2">
        <w:rPr>
          <w:rFonts w:ascii="Arial" w:hAnsi="Arial" w:cs="Arial"/>
          <w:sz w:val="18"/>
          <w:szCs w:val="18"/>
          <w:lang w:val="hr-HR" w:eastAsia="hr-HR"/>
        </w:rPr>
        <w:t xml:space="preserve">AOP </w:t>
      </w:r>
      <w:r w:rsidR="00F247A2" w:rsidRPr="00F247A2">
        <w:rPr>
          <w:rFonts w:ascii="Arial" w:hAnsi="Arial" w:cs="Arial"/>
          <w:sz w:val="18"/>
          <w:szCs w:val="18"/>
          <w:lang w:val="hr-HR" w:eastAsia="hr-HR"/>
        </w:rPr>
        <w:t>292</w:t>
      </w:r>
      <w:r>
        <w:rPr>
          <w:rFonts w:ascii="Arial" w:hAnsi="Arial" w:cs="Arial"/>
          <w:sz w:val="18"/>
          <w:szCs w:val="18"/>
          <w:lang w:val="hr-HR" w:eastAsia="hr-HR"/>
        </w:rPr>
        <w:t>)</w:t>
      </w:r>
      <w:r w:rsidR="008605A0">
        <w:rPr>
          <w:rFonts w:ascii="Arial" w:hAnsi="Arial" w:cs="Arial"/>
          <w:sz w:val="18"/>
          <w:szCs w:val="18"/>
          <w:lang w:val="hr-HR" w:eastAsia="hr-HR"/>
        </w:rPr>
        <w:tab/>
      </w:r>
      <w:r w:rsidR="00FF6325">
        <w:rPr>
          <w:rFonts w:ascii="Arial" w:hAnsi="Arial" w:cs="Arial"/>
          <w:sz w:val="18"/>
          <w:szCs w:val="18"/>
          <w:lang w:val="hr-HR" w:eastAsia="hr-HR"/>
        </w:rPr>
        <w:tab/>
        <w:t xml:space="preserve">    0,00 </w:t>
      </w:r>
      <w:r>
        <w:rPr>
          <w:rFonts w:ascii="Arial" w:hAnsi="Arial" w:cs="Arial"/>
          <w:sz w:val="18"/>
          <w:szCs w:val="18"/>
          <w:lang w:val="hr-HR" w:eastAsia="hr-HR"/>
        </w:rPr>
        <w:t>kn</w:t>
      </w:r>
    </w:p>
    <w:p w:rsidR="002C7033" w:rsidRPr="00C15C8F" w:rsidRDefault="002C7033" w:rsidP="00C15C8F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  <w:lang w:val="hr-HR" w:eastAsia="hr-HR"/>
        </w:rPr>
      </w:pPr>
      <w:r>
        <w:rPr>
          <w:rFonts w:ascii="Arial" w:hAnsi="Arial" w:cs="Arial"/>
          <w:sz w:val="18"/>
          <w:szCs w:val="18"/>
          <w:lang w:val="hr-HR" w:eastAsia="hr-HR"/>
        </w:rPr>
        <w:t>Ukupni rashodi za nabavu nefinancijske imovine (</w:t>
      </w:r>
      <w:r w:rsidR="008605A0">
        <w:rPr>
          <w:rFonts w:ascii="Arial" w:hAnsi="Arial" w:cs="Arial"/>
          <w:sz w:val="18"/>
          <w:szCs w:val="18"/>
          <w:lang w:val="hr-HR" w:eastAsia="hr-HR"/>
        </w:rPr>
        <w:t xml:space="preserve">klasa 4 </w:t>
      </w:r>
      <w:r w:rsidR="00F247A2" w:rsidRPr="00F247A2">
        <w:rPr>
          <w:rFonts w:ascii="Arial" w:hAnsi="Arial" w:cs="Arial"/>
          <w:sz w:val="18"/>
          <w:szCs w:val="18"/>
          <w:lang w:val="hr-HR" w:eastAsia="hr-HR"/>
        </w:rPr>
        <w:t>–</w:t>
      </w:r>
      <w:r w:rsidR="008605A0" w:rsidRPr="00F247A2">
        <w:rPr>
          <w:rFonts w:ascii="Arial" w:hAnsi="Arial" w:cs="Arial"/>
          <w:sz w:val="18"/>
          <w:szCs w:val="18"/>
          <w:lang w:val="hr-HR" w:eastAsia="hr-HR"/>
        </w:rPr>
        <w:t xml:space="preserve"> </w:t>
      </w:r>
      <w:r w:rsidRPr="00F247A2">
        <w:rPr>
          <w:rFonts w:ascii="Arial" w:hAnsi="Arial" w:cs="Arial"/>
          <w:sz w:val="18"/>
          <w:szCs w:val="18"/>
          <w:lang w:val="hr-HR" w:eastAsia="hr-HR"/>
        </w:rPr>
        <w:t>AOP</w:t>
      </w:r>
      <w:r w:rsidR="00F247A2">
        <w:rPr>
          <w:rFonts w:ascii="Arial" w:hAnsi="Arial" w:cs="Arial"/>
          <w:sz w:val="18"/>
          <w:szCs w:val="18"/>
          <w:lang w:val="hr-HR" w:eastAsia="hr-HR"/>
        </w:rPr>
        <w:t xml:space="preserve"> 344</w:t>
      </w:r>
      <w:r>
        <w:rPr>
          <w:rFonts w:ascii="Arial" w:hAnsi="Arial" w:cs="Arial"/>
          <w:sz w:val="18"/>
          <w:szCs w:val="18"/>
          <w:lang w:val="hr-HR" w:eastAsia="hr-HR"/>
        </w:rPr>
        <w:t xml:space="preserve"> )</w:t>
      </w:r>
      <w:r w:rsidR="00D02D3F">
        <w:rPr>
          <w:rFonts w:ascii="Arial" w:hAnsi="Arial" w:cs="Arial"/>
          <w:sz w:val="18"/>
          <w:szCs w:val="18"/>
          <w:lang w:val="hr-HR" w:eastAsia="hr-HR"/>
        </w:rPr>
        <w:tab/>
      </w:r>
      <w:r w:rsidR="00FF6325">
        <w:rPr>
          <w:rFonts w:ascii="Arial" w:hAnsi="Arial" w:cs="Arial"/>
          <w:sz w:val="18"/>
          <w:szCs w:val="18"/>
          <w:lang w:val="hr-HR" w:eastAsia="hr-HR"/>
        </w:rPr>
        <w:t xml:space="preserve">149.577.408,53 </w:t>
      </w:r>
      <w:r>
        <w:rPr>
          <w:rFonts w:ascii="Arial" w:hAnsi="Arial" w:cs="Arial"/>
          <w:sz w:val="18"/>
          <w:szCs w:val="18"/>
          <w:lang w:val="hr-HR" w:eastAsia="hr-HR"/>
        </w:rPr>
        <w:t>kn</w:t>
      </w:r>
    </w:p>
    <w:p w:rsidR="002C7033" w:rsidRPr="00E34725" w:rsidRDefault="002C7033" w:rsidP="00A21AD1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  <w:lang w:val="hr-HR" w:eastAsia="hr-HR"/>
        </w:rPr>
      </w:pPr>
      <w:r w:rsidRPr="00E34725">
        <w:rPr>
          <w:rFonts w:ascii="Arial" w:hAnsi="Arial" w:cs="Arial"/>
          <w:sz w:val="18"/>
          <w:szCs w:val="18"/>
          <w:lang w:val="hr-HR" w:eastAsia="hr-HR"/>
        </w:rPr>
        <w:t xml:space="preserve">Ukupan višak prihoda (AOP </w:t>
      </w:r>
      <w:r w:rsidR="00E34725">
        <w:rPr>
          <w:rFonts w:ascii="Arial" w:hAnsi="Arial" w:cs="Arial"/>
          <w:sz w:val="18"/>
          <w:szCs w:val="18"/>
          <w:lang w:val="hr-HR" w:eastAsia="hr-HR"/>
        </w:rPr>
        <w:t>408</w:t>
      </w:r>
      <w:r w:rsidRPr="00E34725">
        <w:rPr>
          <w:rFonts w:ascii="Arial" w:hAnsi="Arial" w:cs="Arial"/>
          <w:sz w:val="18"/>
          <w:szCs w:val="18"/>
          <w:lang w:val="hr-HR" w:eastAsia="hr-HR"/>
        </w:rPr>
        <w:t>)</w:t>
      </w:r>
      <w:r w:rsidRPr="00E34725">
        <w:rPr>
          <w:rFonts w:ascii="Arial" w:hAnsi="Arial" w:cs="Arial"/>
          <w:sz w:val="18"/>
          <w:szCs w:val="18"/>
          <w:lang w:val="hr-HR" w:eastAsia="hr-HR"/>
        </w:rPr>
        <w:tab/>
      </w:r>
      <w:r w:rsidR="00E34725" w:rsidRPr="00E34725">
        <w:rPr>
          <w:rFonts w:ascii="Arial" w:hAnsi="Arial" w:cs="Arial"/>
          <w:sz w:val="18"/>
          <w:szCs w:val="18"/>
          <w:lang w:eastAsia="hr-HR"/>
        </w:rPr>
        <w:tab/>
      </w:r>
      <w:r w:rsidR="00E34725" w:rsidRPr="00E34725">
        <w:rPr>
          <w:rFonts w:ascii="Arial" w:hAnsi="Arial" w:cs="Arial"/>
          <w:sz w:val="18"/>
          <w:szCs w:val="18"/>
          <w:lang w:eastAsia="hr-HR"/>
        </w:rPr>
        <w:tab/>
      </w:r>
      <w:r w:rsidR="00E34725">
        <w:rPr>
          <w:rFonts w:ascii="Arial" w:hAnsi="Arial" w:cs="Arial"/>
          <w:sz w:val="18"/>
          <w:szCs w:val="18"/>
          <w:lang w:eastAsia="hr-HR"/>
        </w:rPr>
        <w:tab/>
      </w:r>
      <w:r w:rsidR="00E34725" w:rsidRPr="00E34725">
        <w:rPr>
          <w:rFonts w:ascii="Arial" w:hAnsi="Arial" w:cs="Arial"/>
          <w:sz w:val="18"/>
          <w:szCs w:val="18"/>
          <w:lang w:eastAsia="hr-HR"/>
        </w:rPr>
        <w:tab/>
        <w:t xml:space="preserve">    3,881,873.40 </w:t>
      </w:r>
      <w:r w:rsidRPr="00E34725">
        <w:rPr>
          <w:rFonts w:ascii="Arial" w:hAnsi="Arial" w:cs="Arial"/>
          <w:sz w:val="18"/>
          <w:szCs w:val="18"/>
          <w:lang w:val="hr-HR" w:eastAsia="hr-HR"/>
        </w:rPr>
        <w:t>kn</w:t>
      </w:r>
    </w:p>
    <w:p w:rsidR="00E34725" w:rsidRPr="00C15C8F" w:rsidRDefault="002C7033" w:rsidP="00E34725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  <w:lang w:val="hr-HR" w:eastAsia="hr-HR"/>
        </w:rPr>
      </w:pPr>
      <w:r w:rsidRPr="00E34725">
        <w:rPr>
          <w:rFonts w:ascii="Arial" w:hAnsi="Arial" w:cs="Arial"/>
          <w:sz w:val="18"/>
          <w:szCs w:val="18"/>
          <w:lang w:val="hr-HR" w:eastAsia="hr-HR"/>
        </w:rPr>
        <w:t xml:space="preserve">Višak prihoda (preneseni) (AOP </w:t>
      </w:r>
      <w:r w:rsidR="00E34725" w:rsidRPr="00E34725">
        <w:rPr>
          <w:rFonts w:ascii="Arial" w:hAnsi="Arial" w:cs="Arial"/>
          <w:sz w:val="18"/>
          <w:szCs w:val="18"/>
          <w:lang w:val="hr-HR" w:eastAsia="hr-HR"/>
        </w:rPr>
        <w:t xml:space="preserve"> 410</w:t>
      </w:r>
      <w:r w:rsidRPr="00E34725">
        <w:rPr>
          <w:rFonts w:ascii="Arial" w:hAnsi="Arial" w:cs="Arial"/>
          <w:sz w:val="18"/>
          <w:szCs w:val="18"/>
          <w:lang w:val="hr-HR" w:eastAsia="hr-HR"/>
        </w:rPr>
        <w:t>)</w:t>
      </w:r>
      <w:r w:rsidR="00E34725" w:rsidRPr="00E34725">
        <w:rPr>
          <w:rFonts w:ascii="Arial" w:hAnsi="Arial" w:cs="Arial"/>
          <w:sz w:val="18"/>
          <w:szCs w:val="18"/>
          <w:lang w:val="hr-HR" w:eastAsia="hr-HR"/>
        </w:rPr>
        <w:tab/>
      </w:r>
      <w:r w:rsidR="00E34725" w:rsidRPr="00E34725">
        <w:rPr>
          <w:rFonts w:ascii="Arial" w:hAnsi="Arial" w:cs="Arial"/>
          <w:sz w:val="18"/>
          <w:szCs w:val="18"/>
          <w:lang w:val="hr-HR" w:eastAsia="hr-HR"/>
        </w:rPr>
        <w:tab/>
      </w:r>
      <w:r w:rsidR="00E34725" w:rsidRPr="00E34725">
        <w:rPr>
          <w:rFonts w:ascii="Arial" w:hAnsi="Arial" w:cs="Arial"/>
          <w:sz w:val="18"/>
          <w:szCs w:val="18"/>
          <w:lang w:val="hr-HR" w:eastAsia="hr-HR"/>
        </w:rPr>
        <w:tab/>
      </w:r>
      <w:r w:rsidR="00E34725" w:rsidRPr="00E34725">
        <w:rPr>
          <w:rFonts w:ascii="Arial" w:hAnsi="Arial" w:cs="Arial"/>
          <w:sz w:val="18"/>
          <w:szCs w:val="18"/>
          <w:lang w:val="hr-HR" w:eastAsia="hr-HR"/>
        </w:rPr>
        <w:tab/>
        <w:t xml:space="preserve"> </w:t>
      </w:r>
      <w:r w:rsidR="00E34725" w:rsidRPr="00E34725">
        <w:rPr>
          <w:rFonts w:ascii="Arial" w:hAnsi="Arial" w:cs="Arial"/>
          <w:b/>
          <w:bCs/>
          <w:color w:val="000080"/>
          <w:sz w:val="16"/>
          <w:szCs w:val="16"/>
        </w:rPr>
        <w:t xml:space="preserve"> </w:t>
      </w:r>
      <w:r w:rsidR="00E34725" w:rsidRPr="00E34725">
        <w:rPr>
          <w:rFonts w:ascii="Arial" w:hAnsi="Arial" w:cs="Arial"/>
          <w:bCs/>
          <w:sz w:val="18"/>
          <w:szCs w:val="18"/>
          <w:lang w:eastAsia="hr-HR"/>
        </w:rPr>
        <w:t>40,741,504,00 kn</w:t>
      </w:r>
    </w:p>
    <w:p w:rsidR="00E34725" w:rsidRPr="00FE2B91" w:rsidRDefault="00E34725" w:rsidP="0033307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  <w:lang w:val="hr-HR" w:eastAsia="hr-HR"/>
        </w:rPr>
      </w:pPr>
      <w:r w:rsidRPr="00FE2B91">
        <w:rPr>
          <w:rFonts w:ascii="Arial" w:hAnsi="Arial" w:cs="Arial"/>
          <w:sz w:val="18"/>
          <w:szCs w:val="18"/>
          <w:lang w:val="hr-HR" w:eastAsia="hr-HR"/>
        </w:rPr>
        <w:t>Primici od financijske imovine i zaduživanja (AOP 413)</w:t>
      </w:r>
      <w:r w:rsidRPr="00FE2B91">
        <w:rPr>
          <w:rFonts w:ascii="Arial" w:hAnsi="Arial" w:cs="Arial"/>
          <w:sz w:val="18"/>
          <w:szCs w:val="18"/>
          <w:lang w:val="hr-HR" w:eastAsia="hr-HR"/>
        </w:rPr>
        <w:tab/>
      </w:r>
      <w:r w:rsidRPr="00FE2B91">
        <w:rPr>
          <w:rFonts w:ascii="Arial" w:hAnsi="Arial" w:cs="Arial"/>
          <w:sz w:val="18"/>
          <w:szCs w:val="18"/>
          <w:lang w:val="hr-HR" w:eastAsia="hr-HR"/>
        </w:rPr>
        <w:tab/>
        <w:t xml:space="preserve">  51.384.880,00 kn</w:t>
      </w:r>
    </w:p>
    <w:p w:rsidR="00E34725" w:rsidRPr="00E34725" w:rsidRDefault="00E34725" w:rsidP="00E34725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18"/>
          <w:szCs w:val="18"/>
          <w:lang w:eastAsia="hr-HR"/>
        </w:rPr>
      </w:pPr>
      <w:r>
        <w:rPr>
          <w:rFonts w:ascii="Arial" w:hAnsi="Arial" w:cs="Arial"/>
          <w:sz w:val="18"/>
          <w:szCs w:val="18"/>
          <w:lang w:val="hr-HR" w:eastAsia="hr-HR"/>
        </w:rPr>
        <w:t>Izdaci za financijsku imovinu i otplate zajmova (AOP 521)</w:t>
      </w:r>
      <w:r w:rsidRPr="00E34725">
        <w:rPr>
          <w:rFonts w:ascii="Arial" w:hAnsi="Arial" w:cs="Arial"/>
          <w:b/>
          <w:bCs/>
          <w:color w:val="00008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80"/>
          <w:sz w:val="16"/>
          <w:szCs w:val="16"/>
        </w:rPr>
        <w:tab/>
      </w:r>
      <w:r>
        <w:rPr>
          <w:rFonts w:ascii="Arial" w:hAnsi="Arial" w:cs="Arial"/>
          <w:b/>
          <w:bCs/>
          <w:color w:val="000080"/>
          <w:sz w:val="16"/>
          <w:szCs w:val="16"/>
        </w:rPr>
        <w:tab/>
        <w:t xml:space="preserve">  </w:t>
      </w:r>
      <w:r w:rsidRPr="00E34725">
        <w:rPr>
          <w:rFonts w:ascii="Arial" w:hAnsi="Arial" w:cs="Arial"/>
          <w:bCs/>
          <w:sz w:val="18"/>
          <w:szCs w:val="18"/>
          <w:lang w:eastAsia="hr-HR"/>
        </w:rPr>
        <w:t>47</w:t>
      </w:r>
      <w:r w:rsidR="00FE2B91">
        <w:rPr>
          <w:rFonts w:ascii="Arial" w:hAnsi="Arial" w:cs="Arial"/>
          <w:bCs/>
          <w:sz w:val="18"/>
          <w:szCs w:val="18"/>
          <w:lang w:eastAsia="hr-HR"/>
        </w:rPr>
        <w:t>.</w:t>
      </w:r>
      <w:r w:rsidRPr="00E34725">
        <w:rPr>
          <w:rFonts w:ascii="Arial" w:hAnsi="Arial" w:cs="Arial"/>
          <w:bCs/>
          <w:sz w:val="18"/>
          <w:szCs w:val="18"/>
          <w:lang w:eastAsia="hr-HR"/>
        </w:rPr>
        <w:t>287</w:t>
      </w:r>
      <w:r w:rsidR="00FE2B91">
        <w:rPr>
          <w:rFonts w:ascii="Arial" w:hAnsi="Arial" w:cs="Arial"/>
          <w:bCs/>
          <w:sz w:val="18"/>
          <w:szCs w:val="18"/>
          <w:lang w:eastAsia="hr-HR"/>
        </w:rPr>
        <w:t>.</w:t>
      </w:r>
      <w:r w:rsidRPr="00E34725">
        <w:rPr>
          <w:rFonts w:ascii="Arial" w:hAnsi="Arial" w:cs="Arial"/>
          <w:bCs/>
          <w:sz w:val="18"/>
          <w:szCs w:val="18"/>
          <w:lang w:eastAsia="hr-HR"/>
        </w:rPr>
        <w:t>402</w:t>
      </w:r>
      <w:r>
        <w:rPr>
          <w:rFonts w:ascii="Arial" w:hAnsi="Arial" w:cs="Arial"/>
          <w:bCs/>
          <w:sz w:val="18"/>
          <w:szCs w:val="18"/>
          <w:lang w:eastAsia="hr-HR"/>
        </w:rPr>
        <w:t>,00 kn</w:t>
      </w:r>
    </w:p>
    <w:p w:rsidR="002C7033" w:rsidRPr="00C15C8F" w:rsidRDefault="00FE2B91" w:rsidP="00C15C8F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  <w:lang w:val="hr-HR" w:eastAsia="hr-HR"/>
        </w:rPr>
      </w:pPr>
      <w:r>
        <w:rPr>
          <w:rFonts w:ascii="Arial" w:hAnsi="Arial" w:cs="Arial"/>
          <w:sz w:val="18"/>
          <w:szCs w:val="18"/>
          <w:lang w:val="hr-HR" w:eastAsia="hr-HR"/>
        </w:rPr>
        <w:t>Višak primitaka od financijske imovine i obveza (AOP 628)</w:t>
      </w:r>
      <w:r>
        <w:rPr>
          <w:rFonts w:ascii="Arial" w:hAnsi="Arial" w:cs="Arial"/>
          <w:sz w:val="18"/>
          <w:szCs w:val="18"/>
          <w:lang w:val="hr-HR" w:eastAsia="hr-HR"/>
        </w:rPr>
        <w:tab/>
      </w:r>
      <w:r>
        <w:rPr>
          <w:rFonts w:ascii="Arial" w:hAnsi="Arial" w:cs="Arial"/>
          <w:sz w:val="18"/>
          <w:szCs w:val="18"/>
          <w:lang w:val="hr-HR" w:eastAsia="hr-HR"/>
        </w:rPr>
        <w:tab/>
      </w:r>
      <w:r w:rsidR="001B21F2">
        <w:rPr>
          <w:rFonts w:ascii="Arial" w:hAnsi="Arial" w:cs="Arial"/>
          <w:sz w:val="18"/>
          <w:szCs w:val="18"/>
          <w:lang w:val="hr-HR" w:eastAsia="hr-HR"/>
        </w:rPr>
        <w:t xml:space="preserve">    4.097.478,00 kn</w:t>
      </w:r>
      <w:r w:rsidR="00E34725">
        <w:rPr>
          <w:rFonts w:ascii="Arial" w:hAnsi="Arial" w:cs="Arial"/>
          <w:sz w:val="18"/>
          <w:szCs w:val="18"/>
          <w:lang w:val="hr-HR" w:eastAsia="hr-HR"/>
        </w:rPr>
        <w:tab/>
      </w:r>
    </w:p>
    <w:p w:rsidR="002C7033" w:rsidRDefault="002C7033" w:rsidP="002C7033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  <w:lang w:val="hr-HR" w:eastAsia="hr-HR"/>
        </w:rPr>
      </w:pPr>
      <w:r>
        <w:rPr>
          <w:rFonts w:ascii="Arial" w:hAnsi="Arial" w:cs="Arial"/>
          <w:sz w:val="18"/>
          <w:szCs w:val="18"/>
          <w:lang w:val="hr-HR" w:eastAsia="hr-HR"/>
        </w:rPr>
        <w:t>Ukupan višak prihoda i primitaka raspoloživ u sljed</w:t>
      </w:r>
      <w:r w:rsidR="001B21F2">
        <w:rPr>
          <w:rFonts w:ascii="Arial" w:hAnsi="Arial" w:cs="Arial"/>
          <w:sz w:val="18"/>
          <w:szCs w:val="18"/>
          <w:lang w:val="hr-HR" w:eastAsia="hr-HR"/>
        </w:rPr>
        <w:t>.</w:t>
      </w:r>
      <w:r>
        <w:rPr>
          <w:rFonts w:ascii="Arial" w:hAnsi="Arial" w:cs="Arial"/>
          <w:sz w:val="18"/>
          <w:szCs w:val="18"/>
          <w:lang w:val="hr-HR" w:eastAsia="hr-HR"/>
        </w:rPr>
        <w:t>razdoblju (AOP</w:t>
      </w:r>
      <w:r w:rsidR="009E395D">
        <w:rPr>
          <w:rFonts w:ascii="Arial" w:hAnsi="Arial" w:cs="Arial"/>
          <w:sz w:val="18"/>
          <w:szCs w:val="18"/>
          <w:lang w:val="hr-HR" w:eastAsia="hr-HR"/>
        </w:rPr>
        <w:t xml:space="preserve"> 634</w:t>
      </w:r>
      <w:r>
        <w:rPr>
          <w:rFonts w:ascii="Arial" w:hAnsi="Arial" w:cs="Arial"/>
          <w:sz w:val="18"/>
          <w:szCs w:val="18"/>
          <w:lang w:val="hr-HR" w:eastAsia="hr-HR"/>
        </w:rPr>
        <w:t xml:space="preserve"> ) </w:t>
      </w:r>
      <w:r w:rsidR="00D815CA">
        <w:rPr>
          <w:rFonts w:ascii="Arial" w:hAnsi="Arial" w:cs="Arial"/>
          <w:sz w:val="18"/>
          <w:szCs w:val="18"/>
          <w:lang w:val="hr-HR" w:eastAsia="hr-HR"/>
        </w:rPr>
        <w:t xml:space="preserve">    7.979.351,00 </w:t>
      </w:r>
      <w:r>
        <w:rPr>
          <w:rFonts w:ascii="Arial" w:hAnsi="Arial" w:cs="Arial"/>
          <w:sz w:val="18"/>
          <w:szCs w:val="18"/>
          <w:lang w:val="hr-HR" w:eastAsia="hr-HR"/>
        </w:rPr>
        <w:t>kn</w:t>
      </w:r>
    </w:p>
    <w:p w:rsidR="00D02D3F" w:rsidRDefault="00D02D3F" w:rsidP="00D02D3F">
      <w:pPr>
        <w:pStyle w:val="ListParagraph"/>
        <w:rPr>
          <w:rFonts w:ascii="Arial" w:hAnsi="Arial" w:cs="Arial"/>
          <w:sz w:val="18"/>
          <w:szCs w:val="18"/>
          <w:lang w:val="hr-HR" w:eastAsia="hr-HR"/>
        </w:rPr>
      </w:pPr>
    </w:p>
    <w:p w:rsidR="00247E25" w:rsidRPr="00D02D3F" w:rsidRDefault="00247E25" w:rsidP="00D02D3F">
      <w:pPr>
        <w:pStyle w:val="ListParagraph"/>
        <w:rPr>
          <w:rFonts w:ascii="Arial" w:hAnsi="Arial" w:cs="Arial"/>
          <w:sz w:val="18"/>
          <w:szCs w:val="18"/>
          <w:lang w:val="hr-HR" w:eastAsia="hr-HR"/>
        </w:rPr>
      </w:pPr>
    </w:p>
    <w:p w:rsidR="00D02D3F" w:rsidRDefault="00247E25" w:rsidP="00E4340D">
      <w:pPr>
        <w:jc w:val="center"/>
        <w:rPr>
          <w:rFonts w:ascii="Arial" w:hAnsi="Arial" w:cs="Arial"/>
          <w:sz w:val="18"/>
          <w:szCs w:val="18"/>
          <w:lang w:val="hr-HR" w:eastAsia="hr-HR"/>
        </w:rPr>
      </w:pPr>
      <w:r w:rsidRPr="00247E25">
        <w:rPr>
          <w:rFonts w:ascii="Arial" w:hAnsi="Arial" w:cs="Arial"/>
          <w:sz w:val="18"/>
          <w:szCs w:val="18"/>
          <w:lang w:val="hr-HR" w:eastAsia="hr-HR"/>
        </w:rPr>
        <w:t>BILJEŠKA</w:t>
      </w:r>
      <w:r w:rsidR="007366D4">
        <w:rPr>
          <w:rFonts w:ascii="Arial" w:hAnsi="Arial" w:cs="Arial"/>
          <w:sz w:val="18"/>
          <w:szCs w:val="18"/>
          <w:lang w:val="hr-HR" w:eastAsia="hr-HR"/>
        </w:rPr>
        <w:t xml:space="preserve"> 8</w:t>
      </w:r>
    </w:p>
    <w:p w:rsidR="00A51DDD" w:rsidRDefault="0025573C" w:rsidP="00B7285F">
      <w:pPr>
        <w:rPr>
          <w:rFonts w:ascii="Arial" w:hAnsi="Arial" w:cs="Arial"/>
          <w:sz w:val="18"/>
          <w:szCs w:val="18"/>
          <w:lang w:val="hr-HR" w:eastAsia="hr-HR"/>
        </w:rPr>
      </w:pPr>
      <w:r>
        <w:rPr>
          <w:rFonts w:ascii="Arial" w:hAnsi="Arial" w:cs="Arial"/>
          <w:sz w:val="18"/>
          <w:szCs w:val="18"/>
          <w:lang w:val="hr-HR" w:eastAsia="hr-HR"/>
        </w:rPr>
        <w:t xml:space="preserve">Ukupni prihodi poslovanja </w:t>
      </w:r>
      <w:r w:rsidR="00A51DDD" w:rsidRPr="002C7033">
        <w:rPr>
          <w:rFonts w:ascii="Arial" w:hAnsi="Arial" w:cs="Arial"/>
          <w:sz w:val="18"/>
          <w:szCs w:val="18"/>
          <w:lang w:val="hr-HR" w:eastAsia="hr-HR"/>
        </w:rPr>
        <w:t>obuhvaćaju:</w:t>
      </w:r>
    </w:p>
    <w:p w:rsidR="00292EA7" w:rsidRPr="002C7033" w:rsidRDefault="00292EA7" w:rsidP="0025573C">
      <w:pPr>
        <w:ind w:firstLine="720"/>
        <w:rPr>
          <w:rFonts w:ascii="Arial" w:hAnsi="Arial" w:cs="Arial"/>
          <w:sz w:val="18"/>
          <w:szCs w:val="18"/>
          <w:lang w:val="hr-HR" w:eastAsia="hr-HR"/>
        </w:rPr>
      </w:pPr>
    </w:p>
    <w:p w:rsidR="00A51DDD" w:rsidRPr="00F57B05" w:rsidRDefault="00A51DDD" w:rsidP="00A51DDD">
      <w:pPr>
        <w:numPr>
          <w:ilvl w:val="0"/>
          <w:numId w:val="3"/>
        </w:numPr>
        <w:rPr>
          <w:rFonts w:ascii="Arial" w:hAnsi="Arial" w:cs="Arial"/>
          <w:sz w:val="18"/>
          <w:szCs w:val="18"/>
          <w:lang w:val="hr-HR" w:eastAsia="hr-HR"/>
        </w:rPr>
      </w:pPr>
      <w:r w:rsidRPr="00F57B05">
        <w:rPr>
          <w:rFonts w:ascii="Arial" w:hAnsi="Arial" w:cs="Arial"/>
          <w:sz w:val="18"/>
          <w:szCs w:val="18"/>
          <w:lang w:val="hr-HR" w:eastAsia="hr-HR"/>
        </w:rPr>
        <w:t xml:space="preserve">Pomoći </w:t>
      </w:r>
      <w:r w:rsidR="00196467">
        <w:rPr>
          <w:rFonts w:ascii="Arial" w:hAnsi="Arial" w:cs="Arial"/>
          <w:sz w:val="18"/>
          <w:szCs w:val="18"/>
          <w:lang w:val="hr-HR" w:eastAsia="hr-HR"/>
        </w:rPr>
        <w:t>iz</w:t>
      </w:r>
      <w:r w:rsidRPr="00F57B05">
        <w:rPr>
          <w:rFonts w:ascii="Arial" w:hAnsi="Arial" w:cs="Arial"/>
          <w:sz w:val="18"/>
          <w:szCs w:val="18"/>
          <w:lang w:val="hr-HR" w:eastAsia="hr-HR"/>
        </w:rPr>
        <w:t xml:space="preserve"> inoz</w:t>
      </w:r>
      <w:r w:rsidR="002B7D39">
        <w:rPr>
          <w:rFonts w:ascii="Arial" w:hAnsi="Arial" w:cs="Arial"/>
          <w:sz w:val="18"/>
          <w:szCs w:val="18"/>
          <w:lang w:val="hr-HR" w:eastAsia="hr-HR"/>
        </w:rPr>
        <w:t>.</w:t>
      </w:r>
      <w:r w:rsidRPr="00F57B05">
        <w:rPr>
          <w:rFonts w:ascii="Arial" w:hAnsi="Arial" w:cs="Arial"/>
          <w:sz w:val="18"/>
          <w:szCs w:val="18"/>
          <w:lang w:val="hr-HR" w:eastAsia="hr-HR"/>
        </w:rPr>
        <w:t>i od subjekata unutar općeg proračuna</w:t>
      </w:r>
      <w:r w:rsidR="0016164B">
        <w:rPr>
          <w:rFonts w:ascii="Arial" w:hAnsi="Arial" w:cs="Arial"/>
          <w:sz w:val="18"/>
          <w:szCs w:val="18"/>
          <w:lang w:val="hr-HR" w:eastAsia="hr-HR"/>
        </w:rPr>
        <w:t xml:space="preserve"> (račun 63 – </w:t>
      </w:r>
      <w:r w:rsidR="0016164B" w:rsidRPr="002B7D39">
        <w:rPr>
          <w:rFonts w:ascii="Arial" w:hAnsi="Arial" w:cs="Arial"/>
          <w:sz w:val="18"/>
          <w:szCs w:val="18"/>
          <w:lang w:val="hr-HR" w:eastAsia="hr-HR"/>
        </w:rPr>
        <w:t>AOP</w:t>
      </w:r>
      <w:r w:rsidR="002B7D39">
        <w:rPr>
          <w:rFonts w:ascii="Arial" w:hAnsi="Arial" w:cs="Arial"/>
          <w:sz w:val="18"/>
          <w:szCs w:val="18"/>
          <w:lang w:val="hr-HR" w:eastAsia="hr-HR"/>
        </w:rPr>
        <w:t xml:space="preserve"> 045</w:t>
      </w:r>
      <w:r w:rsidR="0016164B">
        <w:rPr>
          <w:rFonts w:ascii="Arial" w:hAnsi="Arial" w:cs="Arial"/>
          <w:sz w:val="18"/>
          <w:szCs w:val="18"/>
          <w:lang w:val="hr-HR" w:eastAsia="hr-HR"/>
        </w:rPr>
        <w:t>)</w:t>
      </w:r>
      <w:r w:rsidRPr="00F57B05">
        <w:rPr>
          <w:rFonts w:ascii="Arial" w:hAnsi="Arial" w:cs="Arial"/>
          <w:sz w:val="18"/>
          <w:szCs w:val="18"/>
          <w:lang w:val="hr-HR" w:eastAsia="hr-HR"/>
        </w:rPr>
        <w:t>:</w:t>
      </w:r>
      <w:r w:rsidR="005147E1">
        <w:rPr>
          <w:rFonts w:ascii="Arial" w:hAnsi="Arial" w:cs="Arial"/>
          <w:sz w:val="18"/>
          <w:szCs w:val="18"/>
          <w:lang w:val="hr-HR" w:eastAsia="hr-HR"/>
        </w:rPr>
        <w:t xml:space="preserve"> </w:t>
      </w:r>
      <w:r w:rsidR="002B7D39">
        <w:rPr>
          <w:rFonts w:ascii="Arial" w:hAnsi="Arial" w:cs="Arial"/>
          <w:sz w:val="18"/>
          <w:szCs w:val="18"/>
          <w:lang w:val="hr-HR" w:eastAsia="hr-HR"/>
        </w:rPr>
        <w:tab/>
        <w:t xml:space="preserve"> </w:t>
      </w:r>
      <w:r w:rsidR="00A775DB">
        <w:rPr>
          <w:rFonts w:ascii="Arial" w:hAnsi="Arial" w:cs="Arial"/>
          <w:sz w:val="18"/>
          <w:szCs w:val="18"/>
          <w:lang w:val="hr-HR" w:eastAsia="hr-HR"/>
        </w:rPr>
        <w:t xml:space="preserve"> </w:t>
      </w:r>
      <w:r w:rsidR="005147E1">
        <w:rPr>
          <w:rFonts w:ascii="Arial" w:hAnsi="Arial" w:cs="Arial"/>
          <w:sz w:val="18"/>
          <w:szCs w:val="18"/>
          <w:lang w:val="hr-HR" w:eastAsia="hr-HR"/>
        </w:rPr>
        <w:t>100.475.512,58</w:t>
      </w:r>
      <w:r w:rsidRPr="00F57B05">
        <w:rPr>
          <w:rFonts w:ascii="Arial" w:hAnsi="Arial" w:cs="Arial"/>
          <w:sz w:val="18"/>
          <w:szCs w:val="18"/>
          <w:lang w:val="hr-HR" w:eastAsia="hr-HR"/>
        </w:rPr>
        <w:t xml:space="preserve"> kn;</w:t>
      </w:r>
    </w:p>
    <w:p w:rsidR="00A51DDD" w:rsidRPr="00F57B05" w:rsidRDefault="00A51DDD" w:rsidP="00A51DDD">
      <w:pPr>
        <w:numPr>
          <w:ilvl w:val="0"/>
          <w:numId w:val="3"/>
        </w:numPr>
        <w:rPr>
          <w:rFonts w:ascii="Arial" w:hAnsi="Arial" w:cs="Arial"/>
          <w:sz w:val="18"/>
          <w:szCs w:val="18"/>
          <w:lang w:val="hr-HR" w:eastAsia="hr-HR"/>
        </w:rPr>
      </w:pPr>
      <w:r w:rsidRPr="00F57B05">
        <w:rPr>
          <w:rFonts w:ascii="Arial" w:hAnsi="Arial" w:cs="Arial"/>
          <w:sz w:val="18"/>
          <w:szCs w:val="18"/>
          <w:lang w:val="hr-HR" w:eastAsia="hr-HR"/>
        </w:rPr>
        <w:t>Prihode od imovine</w:t>
      </w:r>
      <w:r w:rsidR="0016164B">
        <w:rPr>
          <w:rFonts w:ascii="Arial" w:hAnsi="Arial" w:cs="Arial"/>
          <w:sz w:val="18"/>
          <w:szCs w:val="18"/>
          <w:lang w:val="hr-HR" w:eastAsia="hr-HR"/>
        </w:rPr>
        <w:t xml:space="preserve"> (račun 64 </w:t>
      </w:r>
      <w:r w:rsidR="0016164B" w:rsidRPr="002752EA">
        <w:rPr>
          <w:rFonts w:ascii="Arial" w:hAnsi="Arial" w:cs="Arial"/>
          <w:sz w:val="18"/>
          <w:szCs w:val="18"/>
          <w:lang w:val="hr-HR" w:eastAsia="hr-HR"/>
        </w:rPr>
        <w:t xml:space="preserve">– AOP </w:t>
      </w:r>
      <w:r w:rsidR="002752EA" w:rsidRPr="002752EA">
        <w:rPr>
          <w:rFonts w:ascii="Arial" w:hAnsi="Arial" w:cs="Arial"/>
          <w:sz w:val="18"/>
          <w:szCs w:val="18"/>
          <w:lang w:val="hr-HR" w:eastAsia="hr-HR"/>
        </w:rPr>
        <w:t>077</w:t>
      </w:r>
      <w:r w:rsidR="0016164B">
        <w:rPr>
          <w:rFonts w:ascii="Arial" w:hAnsi="Arial" w:cs="Arial"/>
          <w:sz w:val="18"/>
          <w:szCs w:val="18"/>
          <w:lang w:val="hr-HR" w:eastAsia="hr-HR"/>
        </w:rPr>
        <w:t>)</w:t>
      </w:r>
      <w:r w:rsidRPr="00F57B05">
        <w:rPr>
          <w:rFonts w:ascii="Arial" w:hAnsi="Arial" w:cs="Arial"/>
          <w:sz w:val="18"/>
          <w:szCs w:val="18"/>
          <w:lang w:val="hr-HR" w:eastAsia="hr-HR"/>
        </w:rPr>
        <w:t xml:space="preserve">: </w:t>
      </w:r>
      <w:r w:rsidR="005147E1">
        <w:rPr>
          <w:rFonts w:ascii="Arial" w:hAnsi="Arial" w:cs="Arial"/>
          <w:sz w:val="18"/>
          <w:szCs w:val="18"/>
          <w:lang w:val="hr-HR" w:eastAsia="hr-HR"/>
        </w:rPr>
        <w:tab/>
      </w:r>
      <w:r w:rsidR="005147E1">
        <w:rPr>
          <w:rFonts w:ascii="Arial" w:hAnsi="Arial" w:cs="Arial"/>
          <w:sz w:val="18"/>
          <w:szCs w:val="18"/>
          <w:lang w:val="hr-HR" w:eastAsia="hr-HR"/>
        </w:rPr>
        <w:tab/>
      </w:r>
      <w:r w:rsidR="005147E1">
        <w:rPr>
          <w:rFonts w:ascii="Arial" w:hAnsi="Arial" w:cs="Arial"/>
          <w:sz w:val="18"/>
          <w:szCs w:val="18"/>
          <w:lang w:val="hr-HR" w:eastAsia="hr-HR"/>
        </w:rPr>
        <w:tab/>
      </w:r>
      <w:r w:rsidR="005147E1">
        <w:rPr>
          <w:rFonts w:ascii="Arial" w:hAnsi="Arial" w:cs="Arial"/>
          <w:sz w:val="18"/>
          <w:szCs w:val="18"/>
          <w:lang w:val="hr-HR" w:eastAsia="hr-HR"/>
        </w:rPr>
        <w:tab/>
      </w:r>
      <w:r w:rsidR="0016164B">
        <w:rPr>
          <w:rFonts w:ascii="Arial" w:hAnsi="Arial" w:cs="Arial"/>
          <w:sz w:val="18"/>
          <w:szCs w:val="18"/>
          <w:lang w:val="hr-HR" w:eastAsia="hr-HR"/>
        </w:rPr>
        <w:tab/>
        <w:t xml:space="preserve">  </w:t>
      </w:r>
      <w:r w:rsidR="00292EA7">
        <w:rPr>
          <w:rFonts w:ascii="Arial" w:hAnsi="Arial" w:cs="Arial"/>
          <w:sz w:val="18"/>
          <w:szCs w:val="18"/>
          <w:lang w:val="hr-HR" w:eastAsia="hr-HR"/>
        </w:rPr>
        <w:t xml:space="preserve"> </w:t>
      </w:r>
      <w:r w:rsidR="005147E1">
        <w:rPr>
          <w:rFonts w:ascii="Arial" w:hAnsi="Arial" w:cs="Arial"/>
          <w:sz w:val="18"/>
          <w:szCs w:val="18"/>
          <w:lang w:val="hr-HR" w:eastAsia="hr-HR"/>
        </w:rPr>
        <w:t xml:space="preserve"> 25.8</w:t>
      </w:r>
      <w:r w:rsidR="002752EA">
        <w:rPr>
          <w:rFonts w:ascii="Arial" w:hAnsi="Arial" w:cs="Arial"/>
          <w:sz w:val="18"/>
          <w:szCs w:val="18"/>
          <w:lang w:val="hr-HR" w:eastAsia="hr-HR"/>
        </w:rPr>
        <w:t>77</w:t>
      </w:r>
      <w:r w:rsidR="005147E1">
        <w:rPr>
          <w:rFonts w:ascii="Arial" w:hAnsi="Arial" w:cs="Arial"/>
          <w:sz w:val="18"/>
          <w:szCs w:val="18"/>
          <w:lang w:val="hr-HR" w:eastAsia="hr-HR"/>
        </w:rPr>
        <w:t>.5</w:t>
      </w:r>
      <w:r w:rsidR="002752EA">
        <w:rPr>
          <w:rFonts w:ascii="Arial" w:hAnsi="Arial" w:cs="Arial"/>
          <w:sz w:val="18"/>
          <w:szCs w:val="18"/>
          <w:lang w:val="hr-HR" w:eastAsia="hr-HR"/>
        </w:rPr>
        <w:t>69</w:t>
      </w:r>
      <w:r w:rsidR="005147E1">
        <w:rPr>
          <w:rFonts w:ascii="Arial" w:hAnsi="Arial" w:cs="Arial"/>
          <w:sz w:val="18"/>
          <w:szCs w:val="18"/>
          <w:lang w:val="hr-HR" w:eastAsia="hr-HR"/>
        </w:rPr>
        <w:t>,</w:t>
      </w:r>
      <w:r w:rsidR="002752EA">
        <w:rPr>
          <w:rFonts w:ascii="Arial" w:hAnsi="Arial" w:cs="Arial"/>
          <w:sz w:val="18"/>
          <w:szCs w:val="18"/>
          <w:lang w:val="hr-HR" w:eastAsia="hr-HR"/>
        </w:rPr>
        <w:t>2</w:t>
      </w:r>
      <w:r w:rsidR="005147E1">
        <w:rPr>
          <w:rFonts w:ascii="Arial" w:hAnsi="Arial" w:cs="Arial"/>
          <w:sz w:val="18"/>
          <w:szCs w:val="18"/>
          <w:lang w:val="hr-HR" w:eastAsia="hr-HR"/>
        </w:rPr>
        <w:t>5</w:t>
      </w:r>
      <w:r w:rsidRPr="00F57B05">
        <w:rPr>
          <w:rFonts w:ascii="Arial" w:hAnsi="Arial" w:cs="Arial"/>
          <w:sz w:val="18"/>
          <w:szCs w:val="18"/>
          <w:lang w:val="hr-HR" w:eastAsia="hr-HR"/>
        </w:rPr>
        <w:t xml:space="preserve"> kn;</w:t>
      </w:r>
    </w:p>
    <w:p w:rsidR="00A51DDD" w:rsidRPr="00F57B05" w:rsidRDefault="00A51DDD" w:rsidP="00A51DDD">
      <w:pPr>
        <w:numPr>
          <w:ilvl w:val="0"/>
          <w:numId w:val="3"/>
        </w:numPr>
        <w:rPr>
          <w:rFonts w:ascii="Arial" w:hAnsi="Arial" w:cs="Arial"/>
          <w:sz w:val="18"/>
          <w:szCs w:val="18"/>
          <w:lang w:val="hr-HR" w:eastAsia="hr-HR"/>
        </w:rPr>
      </w:pPr>
      <w:r w:rsidRPr="00F57B05">
        <w:rPr>
          <w:rFonts w:ascii="Arial" w:hAnsi="Arial" w:cs="Arial"/>
          <w:sz w:val="18"/>
          <w:szCs w:val="18"/>
          <w:lang w:val="hr-HR" w:eastAsia="hr-HR"/>
        </w:rPr>
        <w:t>Prihode od upr</w:t>
      </w:r>
      <w:r w:rsidR="0029499C">
        <w:rPr>
          <w:rFonts w:ascii="Arial" w:hAnsi="Arial" w:cs="Arial"/>
          <w:sz w:val="18"/>
          <w:szCs w:val="18"/>
          <w:lang w:val="hr-HR" w:eastAsia="hr-HR"/>
        </w:rPr>
        <w:t>.</w:t>
      </w:r>
      <w:r w:rsidRPr="00F57B05">
        <w:rPr>
          <w:rFonts w:ascii="Arial" w:hAnsi="Arial" w:cs="Arial"/>
          <w:sz w:val="18"/>
          <w:szCs w:val="18"/>
          <w:lang w:val="hr-HR" w:eastAsia="hr-HR"/>
        </w:rPr>
        <w:t xml:space="preserve"> i adm</w:t>
      </w:r>
      <w:r w:rsidR="005147E1">
        <w:rPr>
          <w:rFonts w:ascii="Arial" w:hAnsi="Arial" w:cs="Arial"/>
          <w:sz w:val="18"/>
          <w:szCs w:val="18"/>
          <w:lang w:val="hr-HR" w:eastAsia="hr-HR"/>
        </w:rPr>
        <w:t>.</w:t>
      </w:r>
      <w:r w:rsidR="0016164B">
        <w:rPr>
          <w:rFonts w:ascii="Arial" w:hAnsi="Arial" w:cs="Arial"/>
          <w:sz w:val="18"/>
          <w:szCs w:val="18"/>
          <w:lang w:val="hr-HR" w:eastAsia="hr-HR"/>
        </w:rPr>
        <w:t>p</w:t>
      </w:r>
      <w:r w:rsidRPr="00F57B05">
        <w:rPr>
          <w:rFonts w:ascii="Arial" w:hAnsi="Arial" w:cs="Arial"/>
          <w:sz w:val="18"/>
          <w:szCs w:val="18"/>
          <w:lang w:val="hr-HR" w:eastAsia="hr-HR"/>
        </w:rPr>
        <w:t>rist</w:t>
      </w:r>
      <w:r w:rsidR="0016164B">
        <w:rPr>
          <w:rFonts w:ascii="Arial" w:hAnsi="Arial" w:cs="Arial"/>
          <w:sz w:val="18"/>
          <w:szCs w:val="18"/>
          <w:lang w:val="hr-HR" w:eastAsia="hr-HR"/>
        </w:rPr>
        <w:t>.</w:t>
      </w:r>
      <w:r w:rsidRPr="00F57B05">
        <w:rPr>
          <w:rFonts w:ascii="Arial" w:hAnsi="Arial" w:cs="Arial"/>
          <w:sz w:val="18"/>
          <w:szCs w:val="18"/>
          <w:lang w:val="hr-HR" w:eastAsia="hr-HR"/>
        </w:rPr>
        <w:t>, prist</w:t>
      </w:r>
      <w:r w:rsidR="0029499C">
        <w:rPr>
          <w:rFonts w:ascii="Arial" w:hAnsi="Arial" w:cs="Arial"/>
          <w:sz w:val="18"/>
          <w:szCs w:val="18"/>
          <w:lang w:val="hr-HR" w:eastAsia="hr-HR"/>
        </w:rPr>
        <w:t>.</w:t>
      </w:r>
      <w:r w:rsidRPr="00F57B05">
        <w:rPr>
          <w:rFonts w:ascii="Arial" w:hAnsi="Arial" w:cs="Arial"/>
          <w:sz w:val="18"/>
          <w:szCs w:val="18"/>
          <w:lang w:val="hr-HR" w:eastAsia="hr-HR"/>
        </w:rPr>
        <w:t>po pos</w:t>
      </w:r>
      <w:r w:rsidR="0016164B">
        <w:rPr>
          <w:rFonts w:ascii="Arial" w:hAnsi="Arial" w:cs="Arial"/>
          <w:sz w:val="18"/>
          <w:szCs w:val="18"/>
          <w:lang w:val="hr-HR" w:eastAsia="hr-HR"/>
        </w:rPr>
        <w:t>.</w:t>
      </w:r>
      <w:r w:rsidRPr="00F57B05">
        <w:rPr>
          <w:rFonts w:ascii="Arial" w:hAnsi="Arial" w:cs="Arial"/>
          <w:sz w:val="18"/>
          <w:szCs w:val="18"/>
          <w:lang w:val="hr-HR" w:eastAsia="hr-HR"/>
        </w:rPr>
        <w:t>propisima i nakn</w:t>
      </w:r>
      <w:r w:rsidR="00C571C1">
        <w:rPr>
          <w:rFonts w:ascii="Arial" w:hAnsi="Arial" w:cs="Arial"/>
          <w:sz w:val="18"/>
          <w:szCs w:val="18"/>
          <w:lang w:val="hr-HR" w:eastAsia="hr-HR"/>
        </w:rPr>
        <w:t>.</w:t>
      </w:r>
      <w:r w:rsidR="0016164B">
        <w:rPr>
          <w:rFonts w:ascii="Arial" w:hAnsi="Arial" w:cs="Arial"/>
          <w:sz w:val="18"/>
          <w:szCs w:val="18"/>
          <w:lang w:val="hr-HR" w:eastAsia="hr-HR"/>
        </w:rPr>
        <w:t xml:space="preserve">(račun 65 – </w:t>
      </w:r>
      <w:r w:rsidR="0016164B" w:rsidRPr="00C571C1">
        <w:rPr>
          <w:rFonts w:ascii="Arial" w:hAnsi="Arial" w:cs="Arial"/>
          <w:sz w:val="18"/>
          <w:szCs w:val="18"/>
          <w:lang w:val="hr-HR" w:eastAsia="hr-HR"/>
        </w:rPr>
        <w:t>AOP</w:t>
      </w:r>
      <w:r w:rsidR="00C571C1" w:rsidRPr="00C571C1">
        <w:rPr>
          <w:rFonts w:ascii="Arial" w:hAnsi="Arial" w:cs="Arial"/>
          <w:sz w:val="18"/>
          <w:szCs w:val="18"/>
          <w:lang w:val="hr-HR" w:eastAsia="hr-HR"/>
        </w:rPr>
        <w:t>101</w:t>
      </w:r>
      <w:r w:rsidR="0016164B" w:rsidRPr="00C571C1">
        <w:rPr>
          <w:rFonts w:ascii="Arial" w:hAnsi="Arial" w:cs="Arial"/>
          <w:sz w:val="18"/>
          <w:szCs w:val="18"/>
          <w:lang w:val="hr-HR" w:eastAsia="hr-HR"/>
        </w:rPr>
        <w:t>)</w:t>
      </w:r>
      <w:r w:rsidRPr="00C571C1">
        <w:rPr>
          <w:rFonts w:ascii="Arial" w:hAnsi="Arial" w:cs="Arial"/>
          <w:sz w:val="18"/>
          <w:szCs w:val="18"/>
          <w:lang w:val="hr-HR" w:eastAsia="hr-HR"/>
        </w:rPr>
        <w:t>:</w:t>
      </w:r>
      <w:r w:rsidRPr="00F57B05">
        <w:rPr>
          <w:rFonts w:ascii="Arial" w:hAnsi="Arial" w:cs="Arial"/>
          <w:sz w:val="18"/>
          <w:szCs w:val="18"/>
          <w:lang w:val="hr-HR" w:eastAsia="hr-HR"/>
        </w:rPr>
        <w:t xml:space="preserve"> </w:t>
      </w:r>
      <w:r w:rsidR="0029499C">
        <w:rPr>
          <w:rFonts w:ascii="Arial" w:hAnsi="Arial" w:cs="Arial"/>
          <w:sz w:val="18"/>
          <w:szCs w:val="18"/>
          <w:lang w:val="hr-HR" w:eastAsia="hr-HR"/>
        </w:rPr>
        <w:t xml:space="preserve"> </w:t>
      </w:r>
      <w:r w:rsidR="0016164B">
        <w:rPr>
          <w:rFonts w:ascii="Arial" w:hAnsi="Arial" w:cs="Arial"/>
          <w:sz w:val="18"/>
          <w:szCs w:val="18"/>
          <w:lang w:val="hr-HR" w:eastAsia="hr-HR"/>
        </w:rPr>
        <w:tab/>
        <w:t xml:space="preserve">    </w:t>
      </w:r>
      <w:r w:rsidR="0029499C" w:rsidRPr="00921C29">
        <w:rPr>
          <w:rFonts w:ascii="Arial" w:hAnsi="Arial" w:cs="Arial"/>
          <w:sz w:val="18"/>
          <w:szCs w:val="18"/>
          <w:lang w:val="hr-HR" w:eastAsia="hr-HR"/>
        </w:rPr>
        <w:t>60.</w:t>
      </w:r>
      <w:r w:rsidR="00921C29" w:rsidRPr="00921C29">
        <w:rPr>
          <w:rFonts w:ascii="Arial" w:hAnsi="Arial" w:cs="Arial"/>
          <w:sz w:val="18"/>
          <w:szCs w:val="18"/>
          <w:lang w:val="hr-HR" w:eastAsia="hr-HR"/>
        </w:rPr>
        <w:t>1</w:t>
      </w:r>
      <w:r w:rsidR="00C571C1">
        <w:rPr>
          <w:rFonts w:ascii="Arial" w:hAnsi="Arial" w:cs="Arial"/>
          <w:sz w:val="18"/>
          <w:szCs w:val="18"/>
          <w:lang w:val="hr-HR" w:eastAsia="hr-HR"/>
        </w:rPr>
        <w:t>51</w:t>
      </w:r>
      <w:r w:rsidR="0029499C" w:rsidRPr="00921C29">
        <w:rPr>
          <w:rFonts w:ascii="Arial" w:hAnsi="Arial" w:cs="Arial"/>
          <w:sz w:val="18"/>
          <w:szCs w:val="18"/>
          <w:lang w:val="hr-HR" w:eastAsia="hr-HR"/>
        </w:rPr>
        <w:t>.</w:t>
      </w:r>
      <w:r w:rsidR="00C571C1">
        <w:rPr>
          <w:rFonts w:ascii="Arial" w:hAnsi="Arial" w:cs="Arial"/>
          <w:sz w:val="18"/>
          <w:szCs w:val="18"/>
          <w:lang w:val="hr-HR" w:eastAsia="hr-HR"/>
        </w:rPr>
        <w:t>007</w:t>
      </w:r>
      <w:r w:rsidR="0029499C" w:rsidRPr="00921C29">
        <w:rPr>
          <w:rFonts w:ascii="Arial" w:hAnsi="Arial" w:cs="Arial"/>
          <w:sz w:val="18"/>
          <w:szCs w:val="18"/>
          <w:lang w:val="hr-HR" w:eastAsia="hr-HR"/>
        </w:rPr>
        <w:t>,</w:t>
      </w:r>
      <w:r w:rsidR="00C571C1">
        <w:rPr>
          <w:rFonts w:ascii="Arial" w:hAnsi="Arial" w:cs="Arial"/>
          <w:sz w:val="18"/>
          <w:szCs w:val="18"/>
          <w:lang w:val="hr-HR" w:eastAsia="hr-HR"/>
        </w:rPr>
        <w:t>9</w:t>
      </w:r>
      <w:r w:rsidR="00921C29" w:rsidRPr="00921C29">
        <w:rPr>
          <w:rFonts w:ascii="Arial" w:hAnsi="Arial" w:cs="Arial"/>
          <w:sz w:val="18"/>
          <w:szCs w:val="18"/>
          <w:lang w:val="hr-HR" w:eastAsia="hr-HR"/>
        </w:rPr>
        <w:t>2</w:t>
      </w:r>
      <w:r w:rsidRPr="00921C29">
        <w:rPr>
          <w:rFonts w:ascii="Arial" w:hAnsi="Arial" w:cs="Arial"/>
          <w:sz w:val="18"/>
          <w:szCs w:val="18"/>
          <w:lang w:val="hr-HR" w:eastAsia="hr-HR"/>
        </w:rPr>
        <w:t xml:space="preserve"> kn</w:t>
      </w:r>
      <w:r w:rsidRPr="00F57B05">
        <w:rPr>
          <w:rFonts w:ascii="Arial" w:hAnsi="Arial" w:cs="Arial"/>
          <w:sz w:val="18"/>
          <w:szCs w:val="18"/>
          <w:lang w:val="hr-HR" w:eastAsia="hr-HR"/>
        </w:rPr>
        <w:t>;</w:t>
      </w:r>
    </w:p>
    <w:p w:rsidR="00A51DDD" w:rsidRPr="00F57B05" w:rsidRDefault="00A51DDD" w:rsidP="00A51DDD">
      <w:pPr>
        <w:numPr>
          <w:ilvl w:val="0"/>
          <w:numId w:val="3"/>
        </w:numPr>
        <w:rPr>
          <w:rFonts w:ascii="Arial" w:hAnsi="Arial" w:cs="Arial"/>
          <w:sz w:val="18"/>
          <w:szCs w:val="18"/>
          <w:lang w:val="hr-HR" w:eastAsia="hr-HR"/>
        </w:rPr>
      </w:pPr>
      <w:r w:rsidRPr="00F57B05">
        <w:rPr>
          <w:rFonts w:ascii="Arial" w:hAnsi="Arial" w:cs="Arial"/>
          <w:sz w:val="18"/>
          <w:szCs w:val="18"/>
          <w:lang w:val="hr-HR" w:eastAsia="hr-HR"/>
        </w:rPr>
        <w:t>Prihode od prod</w:t>
      </w:r>
      <w:r w:rsidR="00C571C1">
        <w:rPr>
          <w:rFonts w:ascii="Arial" w:hAnsi="Arial" w:cs="Arial"/>
          <w:sz w:val="18"/>
          <w:szCs w:val="18"/>
          <w:lang w:val="hr-HR" w:eastAsia="hr-HR"/>
        </w:rPr>
        <w:t>.</w:t>
      </w:r>
      <w:r w:rsidRPr="00F57B05">
        <w:rPr>
          <w:rFonts w:ascii="Arial" w:hAnsi="Arial" w:cs="Arial"/>
          <w:sz w:val="18"/>
          <w:szCs w:val="18"/>
          <w:lang w:val="hr-HR" w:eastAsia="hr-HR"/>
        </w:rPr>
        <w:t>proiz</w:t>
      </w:r>
      <w:r w:rsidR="0029499C">
        <w:rPr>
          <w:rFonts w:ascii="Arial" w:hAnsi="Arial" w:cs="Arial"/>
          <w:sz w:val="18"/>
          <w:szCs w:val="18"/>
          <w:lang w:val="hr-HR" w:eastAsia="hr-HR"/>
        </w:rPr>
        <w:t>.</w:t>
      </w:r>
      <w:r w:rsidRPr="00F57B05">
        <w:rPr>
          <w:rFonts w:ascii="Arial" w:hAnsi="Arial" w:cs="Arial"/>
          <w:sz w:val="18"/>
          <w:szCs w:val="18"/>
          <w:lang w:val="hr-HR" w:eastAsia="hr-HR"/>
        </w:rPr>
        <w:t>i robe te pruženih usl</w:t>
      </w:r>
      <w:r w:rsidR="0016164B">
        <w:rPr>
          <w:rFonts w:ascii="Arial" w:hAnsi="Arial" w:cs="Arial"/>
          <w:sz w:val="18"/>
          <w:szCs w:val="18"/>
          <w:lang w:val="hr-HR" w:eastAsia="hr-HR"/>
        </w:rPr>
        <w:t>.</w:t>
      </w:r>
      <w:r w:rsidRPr="00F57B05">
        <w:rPr>
          <w:rFonts w:ascii="Arial" w:hAnsi="Arial" w:cs="Arial"/>
          <w:sz w:val="18"/>
          <w:szCs w:val="18"/>
          <w:lang w:val="hr-HR" w:eastAsia="hr-HR"/>
        </w:rPr>
        <w:t>i prih</w:t>
      </w:r>
      <w:r w:rsidR="0016164B">
        <w:rPr>
          <w:rFonts w:ascii="Arial" w:hAnsi="Arial" w:cs="Arial"/>
          <w:sz w:val="18"/>
          <w:szCs w:val="18"/>
          <w:lang w:val="hr-HR" w:eastAsia="hr-HR"/>
        </w:rPr>
        <w:t>.</w:t>
      </w:r>
      <w:r w:rsidRPr="00F57B05">
        <w:rPr>
          <w:rFonts w:ascii="Arial" w:hAnsi="Arial" w:cs="Arial"/>
          <w:sz w:val="18"/>
          <w:szCs w:val="18"/>
          <w:lang w:val="hr-HR" w:eastAsia="hr-HR"/>
        </w:rPr>
        <w:t xml:space="preserve"> od donacija</w:t>
      </w:r>
      <w:r w:rsidR="0016164B">
        <w:rPr>
          <w:rFonts w:ascii="Arial" w:hAnsi="Arial" w:cs="Arial"/>
          <w:sz w:val="18"/>
          <w:szCs w:val="18"/>
          <w:lang w:val="hr-HR" w:eastAsia="hr-HR"/>
        </w:rPr>
        <w:t xml:space="preserve"> (račun 66 </w:t>
      </w:r>
      <w:r w:rsidR="0016164B" w:rsidRPr="00C571C1">
        <w:rPr>
          <w:rFonts w:ascii="Arial" w:hAnsi="Arial" w:cs="Arial"/>
          <w:sz w:val="18"/>
          <w:szCs w:val="18"/>
          <w:lang w:val="hr-HR" w:eastAsia="hr-HR"/>
        </w:rPr>
        <w:t>– AOP</w:t>
      </w:r>
      <w:r w:rsidR="00C571C1" w:rsidRPr="00C571C1">
        <w:rPr>
          <w:rFonts w:ascii="Arial" w:hAnsi="Arial" w:cs="Arial"/>
          <w:sz w:val="18"/>
          <w:szCs w:val="18"/>
          <w:lang w:val="hr-HR" w:eastAsia="hr-HR"/>
        </w:rPr>
        <w:t>119</w:t>
      </w:r>
      <w:r w:rsidR="0016164B">
        <w:rPr>
          <w:rFonts w:ascii="Arial" w:hAnsi="Arial" w:cs="Arial"/>
          <w:sz w:val="18"/>
          <w:szCs w:val="18"/>
          <w:lang w:val="hr-HR" w:eastAsia="hr-HR"/>
        </w:rPr>
        <w:t>)</w:t>
      </w:r>
      <w:r w:rsidRPr="00F57B05">
        <w:rPr>
          <w:rFonts w:ascii="Arial" w:hAnsi="Arial" w:cs="Arial"/>
          <w:sz w:val="18"/>
          <w:szCs w:val="18"/>
          <w:lang w:val="hr-HR" w:eastAsia="hr-HR"/>
        </w:rPr>
        <w:t>:</w:t>
      </w:r>
      <w:r w:rsidR="0029499C">
        <w:rPr>
          <w:rFonts w:ascii="Arial" w:hAnsi="Arial" w:cs="Arial"/>
          <w:sz w:val="18"/>
          <w:szCs w:val="18"/>
          <w:lang w:val="hr-HR" w:eastAsia="hr-HR"/>
        </w:rPr>
        <w:t xml:space="preserve"> 8.</w:t>
      </w:r>
      <w:r w:rsidR="00A1019A">
        <w:rPr>
          <w:rFonts w:ascii="Arial" w:hAnsi="Arial" w:cs="Arial"/>
          <w:sz w:val="18"/>
          <w:szCs w:val="18"/>
          <w:lang w:val="hr-HR" w:eastAsia="hr-HR"/>
        </w:rPr>
        <w:t>8</w:t>
      </w:r>
      <w:r w:rsidR="0027659F">
        <w:rPr>
          <w:rFonts w:ascii="Arial" w:hAnsi="Arial" w:cs="Arial"/>
          <w:sz w:val="18"/>
          <w:szCs w:val="18"/>
          <w:lang w:val="hr-HR" w:eastAsia="hr-HR"/>
        </w:rPr>
        <w:t>36</w:t>
      </w:r>
      <w:r w:rsidR="0029499C">
        <w:rPr>
          <w:rFonts w:ascii="Arial" w:hAnsi="Arial" w:cs="Arial"/>
          <w:sz w:val="18"/>
          <w:szCs w:val="18"/>
          <w:lang w:val="hr-HR" w:eastAsia="hr-HR"/>
        </w:rPr>
        <w:t>.</w:t>
      </w:r>
      <w:r w:rsidR="0027659F">
        <w:rPr>
          <w:rFonts w:ascii="Arial" w:hAnsi="Arial" w:cs="Arial"/>
          <w:sz w:val="18"/>
          <w:szCs w:val="18"/>
          <w:lang w:val="hr-HR" w:eastAsia="hr-HR"/>
        </w:rPr>
        <w:t>203</w:t>
      </w:r>
      <w:r w:rsidR="0029499C">
        <w:rPr>
          <w:rFonts w:ascii="Arial" w:hAnsi="Arial" w:cs="Arial"/>
          <w:sz w:val="18"/>
          <w:szCs w:val="18"/>
          <w:lang w:val="hr-HR" w:eastAsia="hr-HR"/>
        </w:rPr>
        <w:t>,</w:t>
      </w:r>
      <w:r w:rsidR="0027659F">
        <w:rPr>
          <w:rFonts w:ascii="Arial" w:hAnsi="Arial" w:cs="Arial"/>
          <w:sz w:val="18"/>
          <w:szCs w:val="18"/>
          <w:lang w:val="hr-HR" w:eastAsia="hr-HR"/>
        </w:rPr>
        <w:t>4</w:t>
      </w:r>
      <w:r w:rsidR="00A1019A">
        <w:rPr>
          <w:rFonts w:ascii="Arial" w:hAnsi="Arial" w:cs="Arial"/>
          <w:sz w:val="18"/>
          <w:szCs w:val="18"/>
          <w:lang w:val="hr-HR" w:eastAsia="hr-HR"/>
        </w:rPr>
        <w:t>7</w:t>
      </w:r>
      <w:r w:rsidR="0029499C">
        <w:rPr>
          <w:rFonts w:ascii="Arial" w:hAnsi="Arial" w:cs="Arial"/>
          <w:sz w:val="18"/>
          <w:szCs w:val="18"/>
          <w:lang w:val="hr-HR" w:eastAsia="hr-HR"/>
        </w:rPr>
        <w:t xml:space="preserve"> kn;</w:t>
      </w:r>
    </w:p>
    <w:p w:rsidR="0029499C" w:rsidRDefault="00A51DDD" w:rsidP="00A51DDD">
      <w:pPr>
        <w:numPr>
          <w:ilvl w:val="0"/>
          <w:numId w:val="3"/>
        </w:numPr>
        <w:rPr>
          <w:rFonts w:ascii="Arial" w:hAnsi="Arial" w:cs="Arial"/>
          <w:sz w:val="18"/>
          <w:szCs w:val="18"/>
          <w:lang w:val="hr-HR" w:eastAsia="hr-HR"/>
        </w:rPr>
      </w:pPr>
      <w:r w:rsidRPr="00F57B05">
        <w:rPr>
          <w:rFonts w:ascii="Arial" w:hAnsi="Arial" w:cs="Arial"/>
          <w:sz w:val="18"/>
          <w:szCs w:val="18"/>
          <w:lang w:val="hr-HR" w:eastAsia="hr-HR"/>
        </w:rPr>
        <w:t>Prihode iz nadl</w:t>
      </w:r>
      <w:r w:rsidR="0062519C">
        <w:rPr>
          <w:rFonts w:ascii="Arial" w:hAnsi="Arial" w:cs="Arial"/>
          <w:sz w:val="18"/>
          <w:szCs w:val="18"/>
          <w:lang w:val="hr-HR" w:eastAsia="hr-HR"/>
        </w:rPr>
        <w:t>.</w:t>
      </w:r>
      <w:r w:rsidRPr="00F57B05">
        <w:rPr>
          <w:rFonts w:ascii="Arial" w:hAnsi="Arial" w:cs="Arial"/>
          <w:sz w:val="18"/>
          <w:szCs w:val="18"/>
          <w:lang w:val="hr-HR" w:eastAsia="hr-HR"/>
        </w:rPr>
        <w:t xml:space="preserve"> prora</w:t>
      </w:r>
      <w:r w:rsidR="0049010F" w:rsidRPr="00F57B05">
        <w:rPr>
          <w:rFonts w:ascii="Arial" w:hAnsi="Arial" w:cs="Arial"/>
          <w:sz w:val="18"/>
          <w:szCs w:val="18"/>
          <w:lang w:val="hr-HR" w:eastAsia="hr-HR"/>
        </w:rPr>
        <w:t>č</w:t>
      </w:r>
      <w:r w:rsidRPr="00F57B05">
        <w:rPr>
          <w:rFonts w:ascii="Arial" w:hAnsi="Arial" w:cs="Arial"/>
          <w:sz w:val="18"/>
          <w:szCs w:val="18"/>
          <w:lang w:val="hr-HR" w:eastAsia="hr-HR"/>
        </w:rPr>
        <w:t>una i od HZZO-a tem</w:t>
      </w:r>
      <w:r w:rsidR="008A2E6A">
        <w:rPr>
          <w:rFonts w:ascii="Arial" w:hAnsi="Arial" w:cs="Arial"/>
          <w:sz w:val="18"/>
          <w:szCs w:val="18"/>
          <w:lang w:val="hr-HR" w:eastAsia="hr-HR"/>
        </w:rPr>
        <w:t>.</w:t>
      </w:r>
      <w:r w:rsidRPr="00F57B05">
        <w:rPr>
          <w:rFonts w:ascii="Arial" w:hAnsi="Arial" w:cs="Arial"/>
          <w:sz w:val="18"/>
          <w:szCs w:val="18"/>
          <w:lang w:val="hr-HR" w:eastAsia="hr-HR"/>
        </w:rPr>
        <w:t xml:space="preserve"> ugov</w:t>
      </w:r>
      <w:r w:rsidR="0029499C">
        <w:rPr>
          <w:rFonts w:ascii="Arial" w:hAnsi="Arial" w:cs="Arial"/>
          <w:sz w:val="18"/>
          <w:szCs w:val="18"/>
          <w:lang w:val="hr-HR" w:eastAsia="hr-HR"/>
        </w:rPr>
        <w:t>.</w:t>
      </w:r>
      <w:r w:rsidR="009018CB">
        <w:rPr>
          <w:rFonts w:ascii="Arial" w:hAnsi="Arial" w:cs="Arial"/>
          <w:sz w:val="18"/>
          <w:szCs w:val="18"/>
          <w:lang w:val="hr-HR" w:eastAsia="hr-HR"/>
        </w:rPr>
        <w:t>o</w:t>
      </w:r>
      <w:r w:rsidRPr="00F57B05">
        <w:rPr>
          <w:rFonts w:ascii="Arial" w:hAnsi="Arial" w:cs="Arial"/>
          <w:sz w:val="18"/>
          <w:szCs w:val="18"/>
          <w:lang w:val="hr-HR" w:eastAsia="hr-HR"/>
        </w:rPr>
        <w:t>bveza</w:t>
      </w:r>
      <w:r w:rsidR="0062519C">
        <w:rPr>
          <w:rFonts w:ascii="Arial" w:hAnsi="Arial" w:cs="Arial"/>
          <w:sz w:val="18"/>
          <w:szCs w:val="18"/>
          <w:lang w:val="hr-HR" w:eastAsia="hr-HR"/>
        </w:rPr>
        <w:t xml:space="preserve"> (račun 67 – </w:t>
      </w:r>
      <w:r w:rsidR="0062519C" w:rsidRPr="00E11F9A">
        <w:rPr>
          <w:rFonts w:ascii="Arial" w:hAnsi="Arial" w:cs="Arial"/>
          <w:sz w:val="18"/>
          <w:szCs w:val="18"/>
          <w:lang w:val="hr-HR" w:eastAsia="hr-HR"/>
        </w:rPr>
        <w:t>AOP</w:t>
      </w:r>
      <w:r w:rsidR="0062519C">
        <w:rPr>
          <w:rFonts w:ascii="Arial" w:hAnsi="Arial" w:cs="Arial"/>
          <w:sz w:val="18"/>
          <w:szCs w:val="18"/>
          <w:lang w:val="hr-HR" w:eastAsia="hr-HR"/>
        </w:rPr>
        <w:t xml:space="preserve"> </w:t>
      </w:r>
      <w:r w:rsidR="009018CB">
        <w:rPr>
          <w:rFonts w:ascii="Arial" w:hAnsi="Arial" w:cs="Arial"/>
          <w:sz w:val="18"/>
          <w:szCs w:val="18"/>
          <w:lang w:val="hr-HR" w:eastAsia="hr-HR"/>
        </w:rPr>
        <w:t>128</w:t>
      </w:r>
      <w:r w:rsidR="0062519C">
        <w:rPr>
          <w:rFonts w:ascii="Arial" w:hAnsi="Arial" w:cs="Arial"/>
          <w:sz w:val="18"/>
          <w:szCs w:val="18"/>
          <w:lang w:val="hr-HR" w:eastAsia="hr-HR"/>
        </w:rPr>
        <w:t>)</w:t>
      </w:r>
      <w:r w:rsidRPr="00F57B05">
        <w:rPr>
          <w:rFonts w:ascii="Arial" w:hAnsi="Arial" w:cs="Arial"/>
          <w:sz w:val="18"/>
          <w:szCs w:val="18"/>
          <w:lang w:val="hr-HR" w:eastAsia="hr-HR"/>
        </w:rPr>
        <w:t>:</w:t>
      </w:r>
      <w:r w:rsidR="0029499C">
        <w:rPr>
          <w:rFonts w:ascii="Arial" w:hAnsi="Arial" w:cs="Arial"/>
          <w:sz w:val="18"/>
          <w:szCs w:val="18"/>
          <w:lang w:val="hr-HR" w:eastAsia="hr-HR"/>
        </w:rPr>
        <w:t xml:space="preserve"> </w:t>
      </w:r>
      <w:r w:rsidR="008A2E6A">
        <w:rPr>
          <w:rFonts w:ascii="Arial" w:hAnsi="Arial" w:cs="Arial"/>
          <w:sz w:val="18"/>
          <w:szCs w:val="18"/>
          <w:lang w:val="hr-HR" w:eastAsia="hr-HR"/>
        </w:rPr>
        <w:t xml:space="preserve">   </w:t>
      </w:r>
      <w:r w:rsidR="0029499C">
        <w:rPr>
          <w:rFonts w:ascii="Arial" w:hAnsi="Arial" w:cs="Arial"/>
          <w:sz w:val="18"/>
          <w:szCs w:val="18"/>
          <w:lang w:val="hr-HR" w:eastAsia="hr-HR"/>
        </w:rPr>
        <w:t>64.677.457,21</w:t>
      </w:r>
      <w:r w:rsidRPr="00F57B05">
        <w:rPr>
          <w:rFonts w:ascii="Arial" w:hAnsi="Arial" w:cs="Arial"/>
          <w:sz w:val="18"/>
          <w:szCs w:val="18"/>
          <w:lang w:val="hr-HR" w:eastAsia="hr-HR"/>
        </w:rPr>
        <w:t xml:space="preserve"> kn</w:t>
      </w:r>
      <w:r w:rsidR="0029499C">
        <w:rPr>
          <w:rFonts w:ascii="Arial" w:hAnsi="Arial" w:cs="Arial"/>
          <w:sz w:val="18"/>
          <w:szCs w:val="18"/>
          <w:lang w:val="hr-HR" w:eastAsia="hr-HR"/>
        </w:rPr>
        <w:t xml:space="preserve"> i</w:t>
      </w:r>
    </w:p>
    <w:p w:rsidR="00A51DDD" w:rsidRPr="00F57B05" w:rsidRDefault="007C7617" w:rsidP="00A51DDD">
      <w:pPr>
        <w:numPr>
          <w:ilvl w:val="0"/>
          <w:numId w:val="3"/>
        </w:numPr>
        <w:rPr>
          <w:rFonts w:ascii="Arial" w:hAnsi="Arial" w:cs="Arial"/>
          <w:sz w:val="18"/>
          <w:szCs w:val="18"/>
          <w:lang w:val="hr-HR" w:eastAsia="hr-HR"/>
        </w:rPr>
      </w:pPr>
      <w:r>
        <w:rPr>
          <w:rFonts w:ascii="Arial" w:hAnsi="Arial" w:cs="Arial"/>
          <w:sz w:val="18"/>
          <w:szCs w:val="18"/>
          <w:lang w:val="hr-HR" w:eastAsia="hr-HR"/>
        </w:rPr>
        <w:t>Ostale prihode</w:t>
      </w:r>
      <w:r w:rsidR="0062519C">
        <w:rPr>
          <w:rFonts w:ascii="Arial" w:hAnsi="Arial" w:cs="Arial"/>
          <w:sz w:val="18"/>
          <w:szCs w:val="18"/>
          <w:lang w:val="hr-HR" w:eastAsia="hr-HR"/>
        </w:rPr>
        <w:t xml:space="preserve"> (račun 68 </w:t>
      </w:r>
      <w:r w:rsidR="0062519C" w:rsidRPr="009018CB">
        <w:rPr>
          <w:rFonts w:ascii="Arial" w:hAnsi="Arial" w:cs="Arial"/>
          <w:sz w:val="18"/>
          <w:szCs w:val="18"/>
          <w:lang w:val="hr-HR" w:eastAsia="hr-HR"/>
        </w:rPr>
        <w:t xml:space="preserve">– AOP </w:t>
      </w:r>
      <w:r w:rsidR="009018CB" w:rsidRPr="009018CB">
        <w:rPr>
          <w:rFonts w:ascii="Arial" w:hAnsi="Arial" w:cs="Arial"/>
          <w:sz w:val="18"/>
          <w:szCs w:val="18"/>
          <w:lang w:val="hr-HR" w:eastAsia="hr-HR"/>
        </w:rPr>
        <w:t>134</w:t>
      </w:r>
      <w:r w:rsidR="0062519C">
        <w:rPr>
          <w:rFonts w:ascii="Arial" w:hAnsi="Arial" w:cs="Arial"/>
          <w:sz w:val="18"/>
          <w:szCs w:val="18"/>
          <w:lang w:val="hr-HR" w:eastAsia="hr-HR"/>
        </w:rPr>
        <w:t>)</w:t>
      </w:r>
      <w:r w:rsidR="0029499C">
        <w:rPr>
          <w:rFonts w:ascii="Arial" w:hAnsi="Arial" w:cs="Arial"/>
          <w:sz w:val="18"/>
          <w:szCs w:val="18"/>
          <w:lang w:val="hr-HR" w:eastAsia="hr-HR"/>
        </w:rPr>
        <w:t>:</w:t>
      </w:r>
      <w:r w:rsidR="0029499C">
        <w:rPr>
          <w:rFonts w:ascii="Arial" w:hAnsi="Arial" w:cs="Arial"/>
          <w:sz w:val="18"/>
          <w:szCs w:val="18"/>
          <w:lang w:val="hr-HR" w:eastAsia="hr-HR"/>
        </w:rPr>
        <w:tab/>
      </w:r>
      <w:r w:rsidR="009018CB">
        <w:rPr>
          <w:rFonts w:ascii="Arial" w:hAnsi="Arial" w:cs="Arial"/>
          <w:sz w:val="18"/>
          <w:szCs w:val="18"/>
          <w:lang w:val="hr-HR" w:eastAsia="hr-HR"/>
        </w:rPr>
        <w:tab/>
      </w:r>
      <w:r w:rsidR="0029499C">
        <w:rPr>
          <w:rFonts w:ascii="Arial" w:hAnsi="Arial" w:cs="Arial"/>
          <w:sz w:val="18"/>
          <w:szCs w:val="18"/>
          <w:lang w:val="hr-HR" w:eastAsia="hr-HR"/>
        </w:rPr>
        <w:tab/>
      </w:r>
      <w:r w:rsidR="0029499C">
        <w:rPr>
          <w:rFonts w:ascii="Arial" w:hAnsi="Arial" w:cs="Arial"/>
          <w:sz w:val="18"/>
          <w:szCs w:val="18"/>
          <w:lang w:val="hr-HR" w:eastAsia="hr-HR"/>
        </w:rPr>
        <w:tab/>
      </w:r>
      <w:r w:rsidR="0029499C">
        <w:rPr>
          <w:rFonts w:ascii="Arial" w:hAnsi="Arial" w:cs="Arial"/>
          <w:sz w:val="18"/>
          <w:szCs w:val="18"/>
          <w:lang w:val="hr-HR" w:eastAsia="hr-HR"/>
        </w:rPr>
        <w:tab/>
        <w:t xml:space="preserve"> </w:t>
      </w:r>
      <w:r w:rsidR="008A2E6A">
        <w:rPr>
          <w:rFonts w:ascii="Arial" w:hAnsi="Arial" w:cs="Arial"/>
          <w:sz w:val="18"/>
          <w:szCs w:val="18"/>
          <w:lang w:val="hr-HR" w:eastAsia="hr-HR"/>
        </w:rPr>
        <w:t xml:space="preserve"> </w:t>
      </w:r>
      <w:r w:rsidR="0029499C">
        <w:rPr>
          <w:rFonts w:ascii="Arial" w:hAnsi="Arial" w:cs="Arial"/>
          <w:sz w:val="18"/>
          <w:szCs w:val="18"/>
          <w:lang w:val="hr-HR" w:eastAsia="hr-HR"/>
        </w:rPr>
        <w:t xml:space="preserve">  </w:t>
      </w:r>
      <w:r w:rsidR="009018CB">
        <w:rPr>
          <w:rFonts w:ascii="Arial" w:hAnsi="Arial" w:cs="Arial"/>
          <w:sz w:val="18"/>
          <w:szCs w:val="18"/>
          <w:lang w:val="hr-HR" w:eastAsia="hr-HR"/>
        </w:rPr>
        <w:t xml:space="preserve">  </w:t>
      </w:r>
      <w:r w:rsidR="00F61D0F">
        <w:rPr>
          <w:rFonts w:ascii="Arial" w:hAnsi="Arial" w:cs="Arial"/>
          <w:sz w:val="18"/>
          <w:szCs w:val="18"/>
          <w:lang w:val="hr-HR" w:eastAsia="hr-HR"/>
        </w:rPr>
        <w:t xml:space="preserve"> </w:t>
      </w:r>
      <w:r w:rsidR="0029499C">
        <w:rPr>
          <w:rFonts w:ascii="Arial" w:hAnsi="Arial" w:cs="Arial"/>
          <w:sz w:val="18"/>
          <w:szCs w:val="18"/>
          <w:lang w:val="hr-HR" w:eastAsia="hr-HR"/>
        </w:rPr>
        <w:t xml:space="preserve"> 816.863,68 </w:t>
      </w:r>
      <w:r w:rsidR="009018CB">
        <w:rPr>
          <w:rFonts w:ascii="Arial" w:hAnsi="Arial" w:cs="Arial"/>
          <w:sz w:val="18"/>
          <w:szCs w:val="18"/>
          <w:lang w:val="hr-HR" w:eastAsia="hr-HR"/>
        </w:rPr>
        <w:t>k</w:t>
      </w:r>
      <w:r w:rsidR="0029499C">
        <w:rPr>
          <w:rFonts w:ascii="Arial" w:hAnsi="Arial" w:cs="Arial"/>
          <w:sz w:val="18"/>
          <w:szCs w:val="18"/>
          <w:lang w:val="hr-HR" w:eastAsia="hr-HR"/>
        </w:rPr>
        <w:t>n</w:t>
      </w:r>
      <w:r w:rsidR="00A51DDD" w:rsidRPr="00F57B05">
        <w:rPr>
          <w:rFonts w:ascii="Arial" w:hAnsi="Arial" w:cs="Arial"/>
          <w:sz w:val="18"/>
          <w:szCs w:val="18"/>
          <w:lang w:val="hr-HR" w:eastAsia="hr-HR"/>
        </w:rPr>
        <w:t>.</w:t>
      </w:r>
    </w:p>
    <w:p w:rsidR="00A51DDD" w:rsidRPr="00F57B05" w:rsidRDefault="00A51DDD" w:rsidP="00A51DDD">
      <w:pPr>
        <w:rPr>
          <w:rFonts w:ascii="Arial" w:hAnsi="Arial" w:cs="Arial"/>
          <w:sz w:val="18"/>
          <w:szCs w:val="18"/>
          <w:lang w:val="hr-HR" w:eastAsia="hr-HR"/>
        </w:rPr>
      </w:pPr>
    </w:p>
    <w:p w:rsidR="0049010F" w:rsidRPr="00B84A43" w:rsidRDefault="0049010F" w:rsidP="0049010F">
      <w:pPr>
        <w:ind w:left="720"/>
        <w:rPr>
          <w:rFonts w:ascii="Arial" w:hAnsi="Arial" w:cs="Arial"/>
          <w:sz w:val="18"/>
          <w:szCs w:val="18"/>
          <w:lang w:val="hr-HR" w:eastAsia="hr-HR"/>
        </w:rPr>
      </w:pPr>
      <w:r w:rsidRPr="00F57B05">
        <w:rPr>
          <w:rFonts w:ascii="Arial" w:hAnsi="Arial" w:cs="Arial"/>
          <w:b/>
          <w:sz w:val="18"/>
          <w:szCs w:val="18"/>
          <w:lang w:val="hr-HR" w:eastAsia="hr-HR"/>
        </w:rPr>
        <w:t>Pomoći iz inozemstva i od subjekata unutar općeg proračuna</w:t>
      </w:r>
      <w:r w:rsidR="0026314F">
        <w:rPr>
          <w:rFonts w:ascii="Arial" w:hAnsi="Arial" w:cs="Arial"/>
          <w:b/>
          <w:sz w:val="18"/>
          <w:szCs w:val="18"/>
          <w:lang w:val="hr-HR" w:eastAsia="hr-HR"/>
        </w:rPr>
        <w:t xml:space="preserve"> </w:t>
      </w:r>
      <w:r w:rsidR="0026314F" w:rsidRPr="00B84A43">
        <w:rPr>
          <w:rFonts w:ascii="Arial" w:hAnsi="Arial" w:cs="Arial"/>
          <w:sz w:val="18"/>
          <w:szCs w:val="18"/>
          <w:lang w:val="hr-HR" w:eastAsia="hr-HR"/>
        </w:rPr>
        <w:t xml:space="preserve">(izvori fin. 51 i 52 - </w:t>
      </w:r>
      <w:r w:rsidRPr="00B84A43">
        <w:rPr>
          <w:rFonts w:ascii="Arial" w:hAnsi="Arial" w:cs="Arial"/>
          <w:sz w:val="18"/>
          <w:szCs w:val="18"/>
          <w:lang w:val="hr-HR" w:eastAsia="hr-HR"/>
        </w:rPr>
        <w:t>AOP 045)</w:t>
      </w:r>
    </w:p>
    <w:p w:rsidR="0049010F" w:rsidRPr="00F57B05" w:rsidRDefault="0049010F" w:rsidP="0049010F">
      <w:pPr>
        <w:ind w:left="720"/>
        <w:rPr>
          <w:rFonts w:ascii="Arial" w:hAnsi="Arial" w:cs="Arial"/>
          <w:sz w:val="18"/>
          <w:szCs w:val="18"/>
          <w:lang w:val="hr-HR" w:eastAsia="hr-HR"/>
        </w:rPr>
      </w:pPr>
    </w:p>
    <w:p w:rsidR="0049010F" w:rsidRDefault="0049010F" w:rsidP="00B7285F">
      <w:pPr>
        <w:jc w:val="both"/>
        <w:rPr>
          <w:rFonts w:ascii="Arial" w:hAnsi="Arial" w:cs="Arial"/>
          <w:color w:val="000000"/>
          <w:sz w:val="18"/>
          <w:szCs w:val="18"/>
          <w:lang w:val="hr-HR" w:eastAsia="hr-HR"/>
        </w:rPr>
      </w:pPr>
      <w:r w:rsidRPr="00F57B05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Ostvareni prihodi od međunarodnih organizacija te institucija i tijela EU </w:t>
      </w:r>
      <w:r w:rsidR="00C46A86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te od subjekata unutar općeg proračuna </w:t>
      </w:r>
      <w:r w:rsidRPr="00F57B05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u iznosu od </w:t>
      </w:r>
      <w:r w:rsidR="005F4C26">
        <w:rPr>
          <w:rFonts w:ascii="Arial" w:hAnsi="Arial" w:cs="Arial"/>
          <w:color w:val="000000"/>
          <w:sz w:val="18"/>
          <w:szCs w:val="18"/>
          <w:lang w:val="hr-HR" w:eastAsia="hr-HR"/>
        </w:rPr>
        <w:t>100.475.512,58</w:t>
      </w:r>
      <w:r w:rsidRPr="00F57B05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</w:t>
      </w:r>
      <w:r w:rsidRPr="00981BEF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kn </w:t>
      </w:r>
      <w:r w:rsidR="00A60FC3" w:rsidRPr="00981BEF">
        <w:rPr>
          <w:rFonts w:ascii="Arial" w:hAnsi="Arial" w:cs="Arial"/>
          <w:color w:val="000000"/>
          <w:sz w:val="18"/>
          <w:szCs w:val="18"/>
          <w:lang w:val="hr-HR" w:eastAsia="hr-HR"/>
        </w:rPr>
        <w:t>uključuju i prenesena sredstva iz 2020.godine (11.359.088,73 kn), a</w:t>
      </w:r>
      <w:r w:rsidR="00A60FC3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</w:t>
      </w:r>
      <w:r w:rsidRPr="00F57B05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odnose se na </w:t>
      </w:r>
      <w:r w:rsidR="00B13787">
        <w:rPr>
          <w:rFonts w:ascii="Arial" w:hAnsi="Arial" w:cs="Arial"/>
          <w:color w:val="000000"/>
          <w:sz w:val="18"/>
          <w:szCs w:val="18"/>
          <w:lang w:val="hr-HR" w:eastAsia="hr-HR"/>
        </w:rPr>
        <w:t>provedb</w:t>
      </w:r>
      <w:r w:rsidR="004F54C9">
        <w:rPr>
          <w:rFonts w:ascii="Arial" w:hAnsi="Arial" w:cs="Arial"/>
          <w:color w:val="000000"/>
          <w:sz w:val="18"/>
          <w:szCs w:val="18"/>
          <w:lang w:val="hr-HR" w:eastAsia="hr-HR"/>
        </w:rPr>
        <w:t>u</w:t>
      </w:r>
      <w:r w:rsidR="00B13787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sl</w:t>
      </w:r>
      <w:r w:rsidRPr="00F57B05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jedećih projekata: </w:t>
      </w:r>
    </w:p>
    <w:p w:rsidR="005F4C26" w:rsidRPr="00F57B05" w:rsidRDefault="005F4C26" w:rsidP="0049010F">
      <w:pPr>
        <w:ind w:left="708"/>
        <w:jc w:val="both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49010F" w:rsidRPr="001F4D14" w:rsidRDefault="0049010F" w:rsidP="00B521C9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lang w:val="hr-HR" w:eastAsia="hr-HR"/>
        </w:rPr>
      </w:pPr>
      <w:r w:rsidRPr="001F4D14">
        <w:rPr>
          <w:rFonts w:ascii="Arial" w:hAnsi="Arial" w:cs="Arial"/>
          <w:sz w:val="18"/>
          <w:szCs w:val="18"/>
          <w:lang w:val="hr-HR" w:eastAsia="hr-HR"/>
        </w:rPr>
        <w:t xml:space="preserve">INTERREG CBC ITALIJA-HRVATSKA 2014-2020 PROJEKT PROMARES – Promoviranje pomorskog i multimodalnog teretnog transporta u Jadranskom moru u iznosu </w:t>
      </w:r>
      <w:r w:rsidR="005F4C26" w:rsidRPr="001F4D14">
        <w:rPr>
          <w:rFonts w:ascii="Arial" w:hAnsi="Arial" w:cs="Arial"/>
          <w:sz w:val="18"/>
          <w:szCs w:val="18"/>
          <w:lang w:val="hr-HR" w:eastAsia="hr-HR"/>
        </w:rPr>
        <w:t>od</w:t>
      </w:r>
      <w:r w:rsidR="001F4D14">
        <w:rPr>
          <w:rFonts w:ascii="Arial" w:hAnsi="Arial" w:cs="Arial"/>
          <w:sz w:val="18"/>
          <w:szCs w:val="18"/>
          <w:lang w:val="hr-HR" w:eastAsia="hr-HR"/>
        </w:rPr>
        <w:t xml:space="preserve">  </w:t>
      </w:r>
      <w:r w:rsidR="001F4D14">
        <w:rPr>
          <w:rFonts w:ascii="Arial" w:hAnsi="Arial" w:cs="Arial"/>
          <w:sz w:val="18"/>
          <w:szCs w:val="18"/>
          <w:lang w:eastAsia="hr-HR"/>
        </w:rPr>
        <w:t>270.584</w:t>
      </w:r>
      <w:r w:rsidR="001F4D14" w:rsidRPr="001F4D14">
        <w:rPr>
          <w:rFonts w:ascii="Arial" w:hAnsi="Arial" w:cs="Arial"/>
          <w:sz w:val="18"/>
          <w:szCs w:val="18"/>
          <w:lang w:eastAsia="hr-HR"/>
        </w:rPr>
        <w:t xml:space="preserve"> kn</w:t>
      </w:r>
      <w:r w:rsidR="001F4D14">
        <w:rPr>
          <w:rFonts w:ascii="Arial" w:hAnsi="Arial" w:cs="Arial"/>
          <w:sz w:val="18"/>
          <w:szCs w:val="18"/>
          <w:lang w:eastAsia="hr-HR"/>
        </w:rPr>
        <w:t>;</w:t>
      </w:r>
    </w:p>
    <w:p w:rsidR="0049010F" w:rsidRPr="001F4D14" w:rsidRDefault="0049010F" w:rsidP="00557B9B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lang w:val="hr-HR" w:eastAsia="hr-HR"/>
        </w:rPr>
      </w:pPr>
      <w:r w:rsidRPr="001F4D14">
        <w:rPr>
          <w:rFonts w:ascii="Arial" w:hAnsi="Arial" w:cs="Arial"/>
          <w:sz w:val="18"/>
          <w:szCs w:val="18"/>
          <w:lang w:val="hr-HR" w:eastAsia="hr-HR"/>
        </w:rPr>
        <w:t xml:space="preserve">INTERREG CBC ITALIJA-HRVATSKA 2014-2020 PROJEKT INTESA – Unapređenje pomorske transportne efikasnosti i sigurnosti na Jadranu u iznosu </w:t>
      </w:r>
      <w:r w:rsidR="005F4C26" w:rsidRPr="001F4D14">
        <w:rPr>
          <w:rFonts w:ascii="Arial" w:hAnsi="Arial" w:cs="Arial"/>
          <w:sz w:val="18"/>
          <w:szCs w:val="18"/>
          <w:lang w:val="hr-HR" w:eastAsia="hr-HR"/>
        </w:rPr>
        <w:t>od</w:t>
      </w:r>
      <w:r w:rsidR="001F4D14" w:rsidRPr="001F4D14">
        <w:rPr>
          <w:rFonts w:ascii="Arial" w:hAnsi="Arial" w:cs="Arial"/>
          <w:sz w:val="18"/>
          <w:szCs w:val="18"/>
          <w:lang w:eastAsia="hr-HR"/>
        </w:rPr>
        <w:t xml:space="preserve">  </w:t>
      </w:r>
      <w:r w:rsidR="001F4D14">
        <w:rPr>
          <w:rFonts w:ascii="Arial" w:hAnsi="Arial" w:cs="Arial"/>
          <w:sz w:val="18"/>
          <w:szCs w:val="18"/>
          <w:lang w:eastAsia="hr-HR"/>
        </w:rPr>
        <w:tab/>
      </w:r>
      <w:r w:rsidR="001F4D14">
        <w:rPr>
          <w:rFonts w:ascii="Arial" w:hAnsi="Arial" w:cs="Arial"/>
          <w:sz w:val="18"/>
          <w:szCs w:val="18"/>
          <w:lang w:eastAsia="hr-HR"/>
        </w:rPr>
        <w:tab/>
      </w:r>
      <w:r w:rsidR="001F4D14">
        <w:rPr>
          <w:rFonts w:ascii="Arial" w:hAnsi="Arial" w:cs="Arial"/>
          <w:sz w:val="18"/>
          <w:szCs w:val="18"/>
          <w:lang w:eastAsia="hr-HR"/>
        </w:rPr>
        <w:tab/>
        <w:t>254.296</w:t>
      </w:r>
      <w:r w:rsidR="001F4D14" w:rsidRPr="001F4D14">
        <w:rPr>
          <w:rFonts w:ascii="Arial" w:hAnsi="Arial" w:cs="Arial"/>
          <w:sz w:val="18"/>
          <w:szCs w:val="18"/>
          <w:lang w:eastAsia="hr-HR"/>
        </w:rPr>
        <w:t xml:space="preserve"> kn</w:t>
      </w:r>
      <w:r w:rsidR="00AC7341">
        <w:rPr>
          <w:rFonts w:ascii="Arial" w:hAnsi="Arial" w:cs="Arial"/>
          <w:sz w:val="18"/>
          <w:szCs w:val="18"/>
          <w:lang w:eastAsia="hr-HR"/>
        </w:rPr>
        <w:t>,</w:t>
      </w:r>
    </w:p>
    <w:p w:rsidR="0049010F" w:rsidRDefault="0049010F" w:rsidP="00A22345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lang w:val="hr-HR" w:eastAsia="hr-HR"/>
        </w:rPr>
      </w:pPr>
      <w:r w:rsidRPr="001F4D14">
        <w:rPr>
          <w:rFonts w:ascii="Arial" w:hAnsi="Arial" w:cs="Arial"/>
          <w:sz w:val="18"/>
          <w:szCs w:val="18"/>
          <w:lang w:val="hr-HR" w:eastAsia="hr-HR"/>
        </w:rPr>
        <w:t xml:space="preserve">INTERREG CBC ITALIJA-HRVATSKA 2014-2020 PROJEKT DIGLOGS – Digitaliziranje logističkih procesa u iznosu </w:t>
      </w:r>
      <w:r w:rsidR="005F4C26" w:rsidRPr="001F4D14">
        <w:rPr>
          <w:rFonts w:ascii="Arial" w:hAnsi="Arial" w:cs="Arial"/>
          <w:sz w:val="18"/>
          <w:szCs w:val="18"/>
          <w:lang w:val="hr-HR" w:eastAsia="hr-HR"/>
        </w:rPr>
        <w:t>od</w:t>
      </w:r>
      <w:r w:rsidR="001F4D14" w:rsidRPr="001F4D14">
        <w:rPr>
          <w:rFonts w:ascii="Arial" w:hAnsi="Arial" w:cs="Arial"/>
          <w:sz w:val="18"/>
          <w:szCs w:val="18"/>
          <w:lang w:val="hr-HR" w:eastAsia="hr-HR"/>
        </w:rPr>
        <w:t xml:space="preserve"> </w:t>
      </w:r>
      <w:r w:rsidR="001F4D14">
        <w:rPr>
          <w:rFonts w:ascii="Arial" w:hAnsi="Arial" w:cs="Arial"/>
          <w:sz w:val="18"/>
          <w:szCs w:val="18"/>
          <w:lang w:val="hr-HR" w:eastAsia="hr-HR"/>
        </w:rPr>
        <w:tab/>
      </w:r>
      <w:r w:rsidR="001F4D14">
        <w:rPr>
          <w:rFonts w:ascii="Arial" w:hAnsi="Arial" w:cs="Arial"/>
          <w:sz w:val="18"/>
          <w:szCs w:val="18"/>
          <w:lang w:val="hr-HR" w:eastAsia="hr-HR"/>
        </w:rPr>
        <w:tab/>
      </w:r>
      <w:r w:rsidR="001F4D14">
        <w:rPr>
          <w:rFonts w:ascii="Arial" w:hAnsi="Arial" w:cs="Arial"/>
          <w:sz w:val="18"/>
          <w:szCs w:val="18"/>
          <w:lang w:val="hr-HR" w:eastAsia="hr-HR"/>
        </w:rPr>
        <w:tab/>
      </w:r>
      <w:r w:rsidR="001F4D14">
        <w:rPr>
          <w:rFonts w:ascii="Arial" w:hAnsi="Arial" w:cs="Arial"/>
          <w:sz w:val="18"/>
          <w:szCs w:val="18"/>
          <w:lang w:val="hr-HR" w:eastAsia="hr-HR"/>
        </w:rPr>
        <w:tab/>
      </w:r>
      <w:r w:rsidR="001F4D14">
        <w:rPr>
          <w:rFonts w:ascii="Arial" w:hAnsi="Arial" w:cs="Arial"/>
          <w:sz w:val="18"/>
          <w:szCs w:val="18"/>
          <w:lang w:val="hr-HR" w:eastAsia="hr-HR"/>
        </w:rPr>
        <w:tab/>
      </w:r>
      <w:r w:rsidR="001F4D14">
        <w:rPr>
          <w:rFonts w:ascii="Arial" w:hAnsi="Arial" w:cs="Arial"/>
          <w:sz w:val="18"/>
          <w:szCs w:val="18"/>
          <w:lang w:val="hr-HR" w:eastAsia="hr-HR"/>
        </w:rPr>
        <w:tab/>
        <w:t xml:space="preserve"> </w:t>
      </w:r>
      <w:r w:rsidR="001F4D14" w:rsidRPr="001F4D14">
        <w:rPr>
          <w:rFonts w:ascii="Arial" w:hAnsi="Arial" w:cs="Arial"/>
          <w:sz w:val="18"/>
          <w:szCs w:val="18"/>
          <w:lang w:val="hr-HR" w:eastAsia="hr-HR"/>
        </w:rPr>
        <w:t>371.92</w:t>
      </w:r>
      <w:r w:rsidR="001F4D14">
        <w:rPr>
          <w:rFonts w:ascii="Arial" w:hAnsi="Arial" w:cs="Arial"/>
          <w:sz w:val="18"/>
          <w:szCs w:val="18"/>
          <w:lang w:val="hr-HR" w:eastAsia="hr-HR"/>
        </w:rPr>
        <w:t>9</w:t>
      </w:r>
      <w:r w:rsidR="001F4D14" w:rsidRPr="001F4D14">
        <w:rPr>
          <w:rFonts w:ascii="Arial" w:hAnsi="Arial" w:cs="Arial"/>
          <w:sz w:val="18"/>
          <w:szCs w:val="18"/>
          <w:lang w:val="hr-HR" w:eastAsia="hr-HR"/>
        </w:rPr>
        <w:t xml:space="preserve"> kn</w:t>
      </w:r>
      <w:r w:rsidR="00AC7341">
        <w:rPr>
          <w:rFonts w:ascii="Arial" w:hAnsi="Arial" w:cs="Arial"/>
          <w:sz w:val="18"/>
          <w:szCs w:val="18"/>
          <w:lang w:val="hr-HR" w:eastAsia="hr-HR"/>
        </w:rPr>
        <w:t>,</w:t>
      </w:r>
    </w:p>
    <w:p w:rsidR="009D78DD" w:rsidRPr="009D78DD" w:rsidRDefault="009D78DD" w:rsidP="009D78DD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lang w:eastAsia="hr-HR"/>
        </w:rPr>
      </w:pPr>
      <w:r w:rsidRPr="009D78DD">
        <w:rPr>
          <w:rFonts w:ascii="Arial" w:hAnsi="Arial" w:cs="Arial"/>
          <w:sz w:val="18"/>
          <w:szCs w:val="18"/>
          <w:lang w:val="hr-HR" w:eastAsia="hr-HR"/>
        </w:rPr>
        <w:t>INTERREG CBC ITALIJA</w:t>
      </w:r>
      <w:r>
        <w:rPr>
          <w:rFonts w:ascii="Arial" w:hAnsi="Arial" w:cs="Arial"/>
          <w:sz w:val="18"/>
          <w:szCs w:val="18"/>
          <w:lang w:val="hr-HR" w:eastAsia="hr-HR"/>
        </w:rPr>
        <w:t xml:space="preserve"> </w:t>
      </w:r>
      <w:r w:rsidRPr="009D78DD">
        <w:rPr>
          <w:rFonts w:ascii="Arial" w:hAnsi="Arial" w:cs="Arial"/>
          <w:sz w:val="18"/>
          <w:szCs w:val="18"/>
          <w:lang w:val="hr-HR" w:eastAsia="hr-HR"/>
        </w:rPr>
        <w:t>-</w:t>
      </w:r>
      <w:r>
        <w:rPr>
          <w:rFonts w:ascii="Arial" w:hAnsi="Arial" w:cs="Arial"/>
          <w:sz w:val="18"/>
          <w:szCs w:val="18"/>
          <w:lang w:val="hr-HR" w:eastAsia="hr-HR"/>
        </w:rPr>
        <w:t xml:space="preserve"> </w:t>
      </w:r>
      <w:r w:rsidRPr="009D78DD">
        <w:rPr>
          <w:rFonts w:ascii="Arial" w:hAnsi="Arial" w:cs="Arial"/>
          <w:sz w:val="18"/>
          <w:szCs w:val="18"/>
          <w:lang w:val="hr-HR" w:eastAsia="hr-HR"/>
        </w:rPr>
        <w:t>HRVATSKA 2014</w:t>
      </w:r>
      <w:r>
        <w:rPr>
          <w:rFonts w:ascii="Arial" w:hAnsi="Arial" w:cs="Arial"/>
          <w:sz w:val="18"/>
          <w:szCs w:val="18"/>
          <w:lang w:val="hr-HR" w:eastAsia="hr-HR"/>
        </w:rPr>
        <w:t xml:space="preserve"> </w:t>
      </w:r>
      <w:r w:rsidRPr="009D78DD">
        <w:rPr>
          <w:rFonts w:ascii="Arial" w:hAnsi="Arial" w:cs="Arial"/>
          <w:sz w:val="18"/>
          <w:szCs w:val="18"/>
          <w:lang w:val="hr-HR" w:eastAsia="hr-HR"/>
        </w:rPr>
        <w:t>-</w:t>
      </w:r>
      <w:r>
        <w:rPr>
          <w:rFonts w:ascii="Arial" w:hAnsi="Arial" w:cs="Arial"/>
          <w:sz w:val="18"/>
          <w:szCs w:val="18"/>
          <w:lang w:val="hr-HR" w:eastAsia="hr-HR"/>
        </w:rPr>
        <w:t xml:space="preserve"> </w:t>
      </w:r>
      <w:r w:rsidRPr="009D78DD">
        <w:rPr>
          <w:rFonts w:ascii="Arial" w:hAnsi="Arial" w:cs="Arial"/>
          <w:sz w:val="18"/>
          <w:szCs w:val="18"/>
          <w:lang w:val="hr-HR" w:eastAsia="hr-HR"/>
        </w:rPr>
        <w:t>2020 PROJEKT</w:t>
      </w:r>
      <w:r>
        <w:rPr>
          <w:rFonts w:ascii="Arial" w:hAnsi="Arial" w:cs="Arial"/>
          <w:sz w:val="18"/>
          <w:szCs w:val="18"/>
          <w:lang w:val="hr-HR" w:eastAsia="hr-HR"/>
        </w:rPr>
        <w:t xml:space="preserve"> SUSPORT – Održive luke u iznosu od </w:t>
      </w:r>
      <w:r w:rsidRPr="009D78DD">
        <w:rPr>
          <w:rFonts w:ascii="Arial" w:hAnsi="Arial" w:cs="Arial"/>
          <w:sz w:val="18"/>
          <w:szCs w:val="18"/>
          <w:lang w:eastAsia="hr-HR"/>
        </w:rPr>
        <w:t xml:space="preserve"> </w:t>
      </w:r>
      <w:r>
        <w:rPr>
          <w:rFonts w:ascii="Arial" w:hAnsi="Arial" w:cs="Arial"/>
          <w:sz w:val="18"/>
          <w:szCs w:val="18"/>
          <w:lang w:eastAsia="hr-HR"/>
        </w:rPr>
        <w:tab/>
      </w:r>
      <w:r>
        <w:rPr>
          <w:rFonts w:ascii="Arial" w:hAnsi="Arial" w:cs="Arial"/>
          <w:sz w:val="18"/>
          <w:szCs w:val="18"/>
          <w:lang w:eastAsia="hr-HR"/>
        </w:rPr>
        <w:tab/>
      </w:r>
      <w:r>
        <w:rPr>
          <w:rFonts w:ascii="Arial" w:hAnsi="Arial" w:cs="Arial"/>
          <w:sz w:val="18"/>
          <w:szCs w:val="18"/>
          <w:lang w:eastAsia="hr-HR"/>
        </w:rPr>
        <w:tab/>
      </w:r>
      <w:r>
        <w:rPr>
          <w:rFonts w:ascii="Arial" w:hAnsi="Arial" w:cs="Arial"/>
          <w:sz w:val="18"/>
          <w:szCs w:val="18"/>
          <w:lang w:eastAsia="hr-HR"/>
        </w:rPr>
        <w:tab/>
      </w:r>
      <w:r>
        <w:rPr>
          <w:rFonts w:ascii="Arial" w:hAnsi="Arial" w:cs="Arial"/>
          <w:sz w:val="18"/>
          <w:szCs w:val="18"/>
          <w:lang w:eastAsia="hr-HR"/>
        </w:rPr>
        <w:tab/>
      </w:r>
      <w:r>
        <w:rPr>
          <w:rFonts w:ascii="Arial" w:hAnsi="Arial" w:cs="Arial"/>
          <w:sz w:val="18"/>
          <w:szCs w:val="18"/>
          <w:lang w:eastAsia="hr-HR"/>
        </w:rPr>
        <w:tab/>
      </w:r>
      <w:r>
        <w:rPr>
          <w:rFonts w:ascii="Arial" w:hAnsi="Arial" w:cs="Arial"/>
          <w:sz w:val="18"/>
          <w:szCs w:val="18"/>
          <w:lang w:eastAsia="hr-HR"/>
        </w:rPr>
        <w:tab/>
      </w:r>
      <w:r>
        <w:rPr>
          <w:rFonts w:ascii="Arial" w:hAnsi="Arial" w:cs="Arial"/>
          <w:sz w:val="18"/>
          <w:szCs w:val="18"/>
          <w:lang w:eastAsia="hr-HR"/>
        </w:rPr>
        <w:tab/>
        <w:t xml:space="preserve">   90.188 kn</w:t>
      </w:r>
      <w:r w:rsidR="00AC7341">
        <w:rPr>
          <w:rFonts w:ascii="Arial" w:hAnsi="Arial" w:cs="Arial"/>
          <w:sz w:val="18"/>
          <w:szCs w:val="18"/>
          <w:lang w:eastAsia="hr-HR"/>
        </w:rPr>
        <w:t>,</w:t>
      </w:r>
    </w:p>
    <w:p w:rsidR="009D78DD" w:rsidRPr="00C15C8F" w:rsidRDefault="009D78DD" w:rsidP="00C15C8F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lang w:eastAsia="hr-HR"/>
        </w:rPr>
      </w:pPr>
      <w:r>
        <w:rPr>
          <w:rFonts w:ascii="Arial" w:hAnsi="Arial" w:cs="Arial"/>
          <w:sz w:val="18"/>
          <w:szCs w:val="18"/>
          <w:lang w:val="hr-HR" w:eastAsia="hr-HR"/>
        </w:rPr>
        <w:t xml:space="preserve">INTERREG </w:t>
      </w:r>
      <w:r w:rsidR="00172E8A">
        <w:rPr>
          <w:rFonts w:ascii="Arial" w:hAnsi="Arial" w:cs="Arial"/>
          <w:sz w:val="18"/>
          <w:szCs w:val="18"/>
          <w:lang w:val="hr-HR" w:eastAsia="hr-HR"/>
        </w:rPr>
        <w:t xml:space="preserve">CENTRAL EUROPE – Projekt C1044 – TALKNET – Transportna i logistička mreža u iznosu od </w:t>
      </w:r>
      <w:r w:rsidR="00172E8A">
        <w:rPr>
          <w:rFonts w:ascii="Arial" w:hAnsi="Arial" w:cs="Arial"/>
          <w:sz w:val="18"/>
          <w:szCs w:val="18"/>
          <w:lang w:val="hr-HR" w:eastAsia="hr-HR"/>
        </w:rPr>
        <w:tab/>
      </w:r>
      <w:r w:rsidR="00172E8A">
        <w:rPr>
          <w:rFonts w:ascii="Arial" w:hAnsi="Arial" w:cs="Arial"/>
          <w:sz w:val="18"/>
          <w:szCs w:val="18"/>
          <w:lang w:val="hr-HR" w:eastAsia="hr-HR"/>
        </w:rPr>
        <w:tab/>
      </w:r>
      <w:r w:rsidR="00172E8A">
        <w:rPr>
          <w:rFonts w:ascii="Arial" w:hAnsi="Arial" w:cs="Arial"/>
          <w:sz w:val="18"/>
          <w:szCs w:val="18"/>
          <w:lang w:val="hr-HR" w:eastAsia="hr-HR"/>
        </w:rPr>
        <w:tab/>
      </w:r>
      <w:r w:rsidR="00172E8A">
        <w:rPr>
          <w:rFonts w:ascii="Arial" w:hAnsi="Arial" w:cs="Arial"/>
          <w:sz w:val="18"/>
          <w:szCs w:val="18"/>
          <w:lang w:val="hr-HR" w:eastAsia="hr-HR"/>
        </w:rPr>
        <w:tab/>
      </w:r>
      <w:r w:rsidR="00172E8A">
        <w:rPr>
          <w:rFonts w:ascii="Arial" w:hAnsi="Arial" w:cs="Arial"/>
          <w:sz w:val="18"/>
          <w:szCs w:val="18"/>
          <w:lang w:val="hr-HR" w:eastAsia="hr-HR"/>
        </w:rPr>
        <w:tab/>
      </w:r>
      <w:r w:rsidR="00172E8A">
        <w:rPr>
          <w:rFonts w:ascii="Arial" w:hAnsi="Arial" w:cs="Arial"/>
          <w:sz w:val="18"/>
          <w:szCs w:val="18"/>
          <w:lang w:val="hr-HR" w:eastAsia="hr-HR"/>
        </w:rPr>
        <w:tab/>
      </w:r>
      <w:r w:rsidR="00172E8A">
        <w:rPr>
          <w:rFonts w:ascii="Arial" w:hAnsi="Arial" w:cs="Arial"/>
          <w:sz w:val="18"/>
          <w:szCs w:val="18"/>
          <w:lang w:val="hr-HR" w:eastAsia="hr-HR"/>
        </w:rPr>
        <w:tab/>
      </w:r>
      <w:r w:rsidR="00172E8A">
        <w:rPr>
          <w:rFonts w:ascii="Arial" w:hAnsi="Arial" w:cs="Arial"/>
          <w:sz w:val="18"/>
          <w:szCs w:val="18"/>
          <w:lang w:val="hr-HR" w:eastAsia="hr-HR"/>
        </w:rPr>
        <w:tab/>
        <w:t xml:space="preserve"> 221.682 kn</w:t>
      </w:r>
      <w:r w:rsidR="00AC7341">
        <w:rPr>
          <w:rFonts w:ascii="Arial" w:hAnsi="Arial" w:cs="Arial"/>
          <w:sz w:val="18"/>
          <w:szCs w:val="18"/>
          <w:lang w:eastAsia="hr-HR"/>
        </w:rPr>
        <w:t>,</w:t>
      </w:r>
    </w:p>
    <w:p w:rsidR="0049010F" w:rsidRPr="00F62D72" w:rsidRDefault="0049010F" w:rsidP="004D304E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lang w:val="hr-HR" w:eastAsia="hr-HR"/>
        </w:rPr>
      </w:pPr>
      <w:r w:rsidRPr="00F62D72">
        <w:rPr>
          <w:rFonts w:ascii="Arial" w:hAnsi="Arial" w:cs="Arial"/>
          <w:color w:val="000000"/>
          <w:sz w:val="18"/>
          <w:szCs w:val="18"/>
          <w:lang w:val="hr-HR" w:eastAsia="hr-HR"/>
        </w:rPr>
        <w:t>CEF – Unapređenje infrastrukture</w:t>
      </w:r>
      <w:r w:rsidR="00065F15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u luci</w:t>
      </w:r>
      <w:r w:rsidR="005F4C26" w:rsidRPr="00F62D72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Rijeka - Bazen Rijeka u iznosu od </w:t>
      </w:r>
      <w:r w:rsidR="00F62D72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       </w:t>
      </w:r>
      <w:r w:rsidR="00F62D72" w:rsidRPr="00F62D72">
        <w:rPr>
          <w:rFonts w:ascii="Arial" w:hAnsi="Arial" w:cs="Arial"/>
          <w:color w:val="000000"/>
          <w:sz w:val="18"/>
          <w:szCs w:val="18"/>
          <w:lang w:eastAsia="hr-HR"/>
        </w:rPr>
        <w:t>20.449.814 kn</w:t>
      </w:r>
      <w:r w:rsidR="00AC7341">
        <w:rPr>
          <w:rFonts w:ascii="Arial" w:hAnsi="Arial" w:cs="Arial"/>
          <w:color w:val="000000"/>
          <w:sz w:val="18"/>
          <w:szCs w:val="18"/>
          <w:lang w:eastAsia="hr-HR"/>
        </w:rPr>
        <w:t>,</w:t>
      </w:r>
      <w:r w:rsidR="00F62D72" w:rsidRPr="00F62D72">
        <w:rPr>
          <w:rFonts w:ascii="Arial" w:hAnsi="Arial" w:cs="Arial"/>
          <w:color w:val="000000"/>
          <w:sz w:val="18"/>
          <w:szCs w:val="18"/>
          <w:lang w:eastAsia="hr-HR"/>
        </w:rPr>
        <w:t xml:space="preserve">   </w:t>
      </w:r>
    </w:p>
    <w:p w:rsidR="0049010F" w:rsidRPr="00F62D72" w:rsidRDefault="0049010F" w:rsidP="00744E3F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lang w:val="hr-HR" w:eastAsia="hr-HR"/>
        </w:rPr>
      </w:pPr>
      <w:r w:rsidRPr="00F62D72">
        <w:rPr>
          <w:rFonts w:ascii="Arial" w:hAnsi="Arial" w:cs="Arial"/>
          <w:color w:val="000000"/>
          <w:sz w:val="18"/>
          <w:szCs w:val="18"/>
          <w:lang w:val="hr-HR" w:eastAsia="hr-HR"/>
        </w:rPr>
        <w:t>CEF – Unapr</w:t>
      </w:r>
      <w:r w:rsidR="00F62D72" w:rsidRPr="00F62D72">
        <w:rPr>
          <w:rFonts w:ascii="Arial" w:hAnsi="Arial" w:cs="Arial"/>
          <w:color w:val="000000"/>
          <w:sz w:val="18"/>
          <w:szCs w:val="18"/>
          <w:lang w:val="hr-HR" w:eastAsia="hr-HR"/>
        </w:rPr>
        <w:t>.</w:t>
      </w:r>
      <w:r w:rsidRPr="00F62D72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infrastrukture </w:t>
      </w:r>
      <w:r w:rsidR="00065F15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u luci </w:t>
      </w:r>
      <w:r w:rsidRPr="00F62D72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Rijeka – </w:t>
      </w:r>
      <w:r w:rsidR="00065F15">
        <w:rPr>
          <w:rFonts w:ascii="Arial" w:hAnsi="Arial" w:cs="Arial"/>
          <w:color w:val="000000"/>
          <w:sz w:val="18"/>
          <w:szCs w:val="18"/>
          <w:lang w:val="hr-HR" w:eastAsia="hr-HR"/>
        </w:rPr>
        <w:t>te</w:t>
      </w:r>
      <w:r w:rsidR="005F4C26" w:rsidRPr="00F62D72">
        <w:rPr>
          <w:rFonts w:ascii="Arial" w:hAnsi="Arial" w:cs="Arial"/>
          <w:color w:val="000000"/>
          <w:sz w:val="18"/>
          <w:szCs w:val="18"/>
          <w:lang w:val="hr-HR" w:eastAsia="hr-HR"/>
        </w:rPr>
        <w:t>rminal za rasut</w:t>
      </w:r>
      <w:r w:rsidR="00065F15">
        <w:rPr>
          <w:rFonts w:ascii="Arial" w:hAnsi="Arial" w:cs="Arial"/>
          <w:color w:val="000000"/>
          <w:sz w:val="18"/>
          <w:szCs w:val="18"/>
          <w:lang w:val="hr-HR" w:eastAsia="hr-HR"/>
        </w:rPr>
        <w:t>e</w:t>
      </w:r>
      <w:r w:rsidR="005F4C26" w:rsidRPr="00F62D72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teret</w:t>
      </w:r>
      <w:r w:rsidR="00065F15">
        <w:rPr>
          <w:rFonts w:ascii="Arial" w:hAnsi="Arial" w:cs="Arial"/>
          <w:color w:val="000000"/>
          <w:sz w:val="18"/>
          <w:szCs w:val="18"/>
          <w:lang w:val="hr-HR" w:eastAsia="hr-HR"/>
        </w:rPr>
        <w:t>e</w:t>
      </w:r>
      <w:r w:rsidR="005F4C26" w:rsidRPr="00F62D72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Bakar od </w:t>
      </w:r>
      <w:r w:rsidR="00F62D72" w:rsidRPr="00F62D72">
        <w:rPr>
          <w:rFonts w:ascii="Arial" w:hAnsi="Arial" w:cs="Arial"/>
          <w:color w:val="000000"/>
          <w:sz w:val="18"/>
          <w:szCs w:val="18"/>
          <w:lang w:eastAsia="hr-HR"/>
        </w:rPr>
        <w:t xml:space="preserve">    10,840,391</w:t>
      </w:r>
      <w:r w:rsidRPr="00F62D72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kn</w:t>
      </w:r>
      <w:r w:rsidR="00AC7341">
        <w:rPr>
          <w:rFonts w:ascii="Arial" w:hAnsi="Arial" w:cs="Arial"/>
          <w:color w:val="000000"/>
          <w:sz w:val="18"/>
          <w:szCs w:val="18"/>
          <w:lang w:val="hr-HR" w:eastAsia="hr-HR"/>
        </w:rPr>
        <w:t>,</w:t>
      </w:r>
    </w:p>
    <w:p w:rsidR="0049010F" w:rsidRPr="00F62D72" w:rsidRDefault="0049010F" w:rsidP="00455C5E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lang w:val="hr-HR" w:eastAsia="hr-HR"/>
        </w:rPr>
      </w:pPr>
      <w:r w:rsidRPr="00F62D72">
        <w:rPr>
          <w:rFonts w:ascii="Arial" w:hAnsi="Arial" w:cs="Arial"/>
          <w:color w:val="000000"/>
          <w:sz w:val="18"/>
          <w:szCs w:val="18"/>
          <w:lang w:val="hr-HR" w:eastAsia="hr-HR"/>
        </w:rPr>
        <w:t>CEF – Unapr</w:t>
      </w:r>
      <w:r w:rsidR="00F62D72" w:rsidRPr="00F62D72">
        <w:rPr>
          <w:rFonts w:ascii="Arial" w:hAnsi="Arial" w:cs="Arial"/>
          <w:color w:val="000000"/>
          <w:sz w:val="18"/>
          <w:szCs w:val="18"/>
          <w:lang w:val="hr-HR" w:eastAsia="hr-HR"/>
        </w:rPr>
        <w:t>.</w:t>
      </w:r>
      <w:r w:rsidRPr="00F62D72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</w:t>
      </w:r>
      <w:r w:rsidR="00F62D72" w:rsidRPr="00F62D72">
        <w:rPr>
          <w:rFonts w:ascii="Arial" w:hAnsi="Arial" w:cs="Arial"/>
          <w:color w:val="000000"/>
          <w:sz w:val="18"/>
          <w:szCs w:val="18"/>
          <w:lang w:val="hr-HR" w:eastAsia="hr-HR"/>
        </w:rPr>
        <w:t>i</w:t>
      </w:r>
      <w:r w:rsidRPr="00F62D72">
        <w:rPr>
          <w:rFonts w:ascii="Arial" w:hAnsi="Arial" w:cs="Arial"/>
          <w:color w:val="000000"/>
          <w:sz w:val="18"/>
          <w:szCs w:val="18"/>
          <w:lang w:val="hr-HR" w:eastAsia="hr-HR"/>
        </w:rPr>
        <w:t>nfrastr</w:t>
      </w:r>
      <w:r w:rsidR="00F62D72" w:rsidRPr="00F62D72">
        <w:rPr>
          <w:rFonts w:ascii="Arial" w:hAnsi="Arial" w:cs="Arial"/>
          <w:color w:val="000000"/>
          <w:sz w:val="18"/>
          <w:szCs w:val="18"/>
          <w:lang w:val="hr-HR" w:eastAsia="hr-HR"/>
        </w:rPr>
        <w:t>.</w:t>
      </w:r>
      <w:r w:rsidRPr="00F62D72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</w:t>
      </w:r>
      <w:r w:rsidR="00065F15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u luci </w:t>
      </w:r>
      <w:r w:rsidRPr="00F62D72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Rijeka – </w:t>
      </w:r>
      <w:r w:rsidR="00065F15">
        <w:rPr>
          <w:rFonts w:ascii="Arial" w:hAnsi="Arial" w:cs="Arial"/>
          <w:color w:val="000000"/>
          <w:sz w:val="18"/>
          <w:szCs w:val="18"/>
          <w:lang w:val="hr-HR" w:eastAsia="hr-HR"/>
        </w:rPr>
        <w:t>i</w:t>
      </w:r>
      <w:r w:rsidRPr="00F62D72">
        <w:rPr>
          <w:rFonts w:ascii="Arial" w:hAnsi="Arial" w:cs="Arial"/>
          <w:color w:val="000000"/>
          <w:sz w:val="18"/>
          <w:szCs w:val="18"/>
          <w:lang w:val="hr-HR" w:eastAsia="hr-HR"/>
        </w:rPr>
        <w:t>nform</w:t>
      </w:r>
      <w:r w:rsidR="00F62D72" w:rsidRPr="00F62D72">
        <w:rPr>
          <w:rFonts w:ascii="Arial" w:hAnsi="Arial" w:cs="Arial"/>
          <w:color w:val="000000"/>
          <w:sz w:val="18"/>
          <w:szCs w:val="18"/>
          <w:lang w:val="hr-HR" w:eastAsia="hr-HR"/>
        </w:rPr>
        <w:t>.</w:t>
      </w:r>
      <w:r w:rsidRPr="00F62D72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sustav </w:t>
      </w:r>
      <w:r w:rsidR="00065F15">
        <w:rPr>
          <w:rFonts w:ascii="Arial" w:hAnsi="Arial" w:cs="Arial"/>
          <w:color w:val="000000"/>
          <w:sz w:val="18"/>
          <w:szCs w:val="18"/>
          <w:lang w:val="hr-HR" w:eastAsia="hr-HR"/>
        </w:rPr>
        <w:t>l</w:t>
      </w:r>
      <w:r w:rsidRPr="00F62D72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učke zajednice – PCS </w:t>
      </w:r>
      <w:r w:rsidR="005F4C26" w:rsidRPr="00F62D72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od </w:t>
      </w:r>
      <w:r w:rsidR="00065F15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 </w:t>
      </w:r>
      <w:r w:rsidR="00F62D72" w:rsidRPr="00F62D72">
        <w:rPr>
          <w:rFonts w:ascii="Arial" w:hAnsi="Arial" w:cs="Arial"/>
          <w:color w:val="000000"/>
          <w:sz w:val="18"/>
          <w:szCs w:val="18"/>
          <w:lang w:eastAsia="hr-HR"/>
        </w:rPr>
        <w:t xml:space="preserve">  2,191,556</w:t>
      </w:r>
      <w:r w:rsidR="00F62D72" w:rsidRPr="00F62D72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</w:t>
      </w:r>
      <w:r w:rsidRPr="00F62D72">
        <w:rPr>
          <w:rFonts w:ascii="Arial" w:hAnsi="Arial" w:cs="Arial"/>
          <w:color w:val="000000"/>
          <w:sz w:val="18"/>
          <w:szCs w:val="18"/>
          <w:lang w:val="hr-HR" w:eastAsia="hr-HR"/>
        </w:rPr>
        <w:t>kn</w:t>
      </w:r>
      <w:r w:rsidR="00AC7341">
        <w:rPr>
          <w:rFonts w:ascii="Arial" w:hAnsi="Arial" w:cs="Arial"/>
          <w:color w:val="000000"/>
          <w:sz w:val="18"/>
          <w:szCs w:val="18"/>
          <w:lang w:val="hr-HR" w:eastAsia="hr-HR"/>
        </w:rPr>
        <w:t>,</w:t>
      </w:r>
    </w:p>
    <w:p w:rsidR="0049010F" w:rsidRPr="00F57B05" w:rsidRDefault="004A205F" w:rsidP="0049010F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lang w:val="hr-HR" w:eastAsia="hr-HR"/>
        </w:rPr>
      </w:pPr>
      <w:r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CEF – </w:t>
      </w:r>
      <w:r w:rsidR="00065F15">
        <w:rPr>
          <w:rFonts w:ascii="Arial" w:hAnsi="Arial" w:cs="Arial"/>
          <w:color w:val="000000"/>
          <w:sz w:val="18"/>
          <w:szCs w:val="18"/>
          <w:lang w:val="hr-HR" w:eastAsia="hr-HR"/>
        </w:rPr>
        <w:t>Unapr. Infrastr. u luci Rijeka - p</w:t>
      </w:r>
      <w:r w:rsidR="0049010F" w:rsidRPr="00F57B05">
        <w:rPr>
          <w:rFonts w:ascii="Arial" w:hAnsi="Arial" w:cs="Arial"/>
          <w:color w:val="000000"/>
          <w:sz w:val="18"/>
          <w:szCs w:val="18"/>
          <w:lang w:val="hr-HR" w:eastAsia="hr-HR"/>
        </w:rPr>
        <w:t>rodubljenje južnog veza</w:t>
      </w:r>
      <w:r w:rsidR="00065F15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AGCT </w:t>
      </w:r>
      <w:r w:rsidR="0049010F" w:rsidRPr="00F57B05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</w:t>
      </w:r>
      <w:r w:rsidR="005F4C26">
        <w:rPr>
          <w:rFonts w:ascii="Arial" w:hAnsi="Arial" w:cs="Arial"/>
          <w:color w:val="000000"/>
          <w:sz w:val="18"/>
          <w:szCs w:val="18"/>
          <w:lang w:val="hr-HR" w:eastAsia="hr-HR"/>
        </w:rPr>
        <w:t>od</w:t>
      </w:r>
      <w:r w:rsidR="00065F15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      </w:t>
      </w:r>
      <w:r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   </w:t>
      </w:r>
      <w:r w:rsidR="00065F15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</w:t>
      </w:r>
      <w:r w:rsidR="0049010F" w:rsidRPr="002D7DF2">
        <w:rPr>
          <w:rFonts w:ascii="Arial" w:hAnsi="Arial" w:cs="Arial"/>
          <w:color w:val="000000"/>
          <w:sz w:val="18"/>
          <w:szCs w:val="18"/>
          <w:lang w:val="hr-HR" w:eastAsia="hr-HR"/>
        </w:rPr>
        <w:t>7.601.454</w:t>
      </w:r>
      <w:r w:rsidR="0049010F" w:rsidRPr="00F57B05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kn</w:t>
      </w:r>
      <w:r w:rsidR="00AC7341">
        <w:rPr>
          <w:rFonts w:ascii="Arial" w:hAnsi="Arial" w:cs="Arial"/>
          <w:color w:val="000000"/>
          <w:sz w:val="18"/>
          <w:szCs w:val="18"/>
          <w:lang w:val="hr-HR" w:eastAsia="hr-HR"/>
        </w:rPr>
        <w:t>,</w:t>
      </w:r>
    </w:p>
    <w:p w:rsidR="0049010F" w:rsidRPr="004A205F" w:rsidRDefault="0049010F" w:rsidP="009428C2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lang w:val="hr-HR" w:eastAsia="hr-HR"/>
        </w:rPr>
      </w:pPr>
      <w:r w:rsidRPr="004A205F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CEF – </w:t>
      </w:r>
      <w:r w:rsidR="00065F15">
        <w:rPr>
          <w:rFonts w:ascii="Arial" w:hAnsi="Arial" w:cs="Arial"/>
          <w:color w:val="000000"/>
          <w:sz w:val="18"/>
          <w:szCs w:val="18"/>
          <w:lang w:val="hr-HR" w:eastAsia="hr-HR"/>
        </w:rPr>
        <w:t>Unapr. Infrastr. u luci Rijeka – Zagreb Deep Sea k</w:t>
      </w:r>
      <w:r w:rsidRPr="004A205F">
        <w:rPr>
          <w:rFonts w:ascii="Arial" w:hAnsi="Arial" w:cs="Arial"/>
          <w:color w:val="000000"/>
          <w:sz w:val="18"/>
          <w:szCs w:val="18"/>
          <w:lang w:val="hr-HR" w:eastAsia="hr-HR"/>
        </w:rPr>
        <w:t>ontejnerski terminal</w:t>
      </w:r>
      <w:r w:rsidR="00065F15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u iznosu od </w:t>
      </w:r>
      <w:r w:rsidR="005F4C26" w:rsidRPr="004A205F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od </w:t>
      </w:r>
      <w:r w:rsidR="005F4C26" w:rsidRPr="004A205F">
        <w:rPr>
          <w:rFonts w:ascii="Arial" w:hAnsi="Arial" w:cs="Arial"/>
          <w:color w:val="000000"/>
          <w:sz w:val="18"/>
          <w:szCs w:val="18"/>
          <w:lang w:val="hr-HR" w:eastAsia="hr-HR"/>
        </w:rPr>
        <w:tab/>
        <w:t xml:space="preserve">          </w:t>
      </w:r>
      <w:r w:rsidR="004A205F" w:rsidRPr="004A205F">
        <w:rPr>
          <w:rFonts w:ascii="Arial" w:hAnsi="Arial" w:cs="Arial"/>
          <w:color w:val="000000"/>
          <w:sz w:val="18"/>
          <w:szCs w:val="18"/>
          <w:lang w:eastAsia="hr-HR"/>
        </w:rPr>
        <w:t xml:space="preserve"> </w:t>
      </w:r>
      <w:r w:rsidR="00065F15">
        <w:rPr>
          <w:rFonts w:ascii="Arial" w:hAnsi="Arial" w:cs="Arial"/>
          <w:color w:val="000000"/>
          <w:sz w:val="18"/>
          <w:szCs w:val="18"/>
          <w:lang w:eastAsia="hr-HR"/>
        </w:rPr>
        <w:t xml:space="preserve"> </w:t>
      </w:r>
      <w:r w:rsidR="009B5D91">
        <w:rPr>
          <w:rFonts w:ascii="Arial" w:hAnsi="Arial" w:cs="Arial"/>
          <w:color w:val="000000"/>
          <w:sz w:val="18"/>
          <w:szCs w:val="18"/>
          <w:lang w:eastAsia="hr-HR"/>
        </w:rPr>
        <w:tab/>
      </w:r>
      <w:r w:rsidR="009B5D91">
        <w:rPr>
          <w:rFonts w:ascii="Arial" w:hAnsi="Arial" w:cs="Arial"/>
          <w:color w:val="000000"/>
          <w:sz w:val="18"/>
          <w:szCs w:val="18"/>
          <w:lang w:eastAsia="hr-HR"/>
        </w:rPr>
        <w:tab/>
      </w:r>
      <w:r w:rsidR="009B5D91">
        <w:rPr>
          <w:rFonts w:ascii="Arial" w:hAnsi="Arial" w:cs="Arial"/>
          <w:color w:val="000000"/>
          <w:sz w:val="18"/>
          <w:szCs w:val="18"/>
          <w:lang w:eastAsia="hr-HR"/>
        </w:rPr>
        <w:tab/>
      </w:r>
      <w:r w:rsidR="009B5D91">
        <w:rPr>
          <w:rFonts w:ascii="Arial" w:hAnsi="Arial" w:cs="Arial"/>
          <w:color w:val="000000"/>
          <w:sz w:val="18"/>
          <w:szCs w:val="18"/>
          <w:lang w:eastAsia="hr-HR"/>
        </w:rPr>
        <w:tab/>
      </w:r>
      <w:r w:rsidR="009B5D91">
        <w:rPr>
          <w:rFonts w:ascii="Arial" w:hAnsi="Arial" w:cs="Arial"/>
          <w:color w:val="000000"/>
          <w:sz w:val="18"/>
          <w:szCs w:val="18"/>
          <w:lang w:eastAsia="hr-HR"/>
        </w:rPr>
        <w:tab/>
      </w:r>
      <w:r w:rsidR="009B5D91">
        <w:rPr>
          <w:rFonts w:ascii="Arial" w:hAnsi="Arial" w:cs="Arial"/>
          <w:color w:val="000000"/>
          <w:sz w:val="18"/>
          <w:szCs w:val="18"/>
          <w:lang w:eastAsia="hr-HR"/>
        </w:rPr>
        <w:tab/>
      </w:r>
      <w:r w:rsidR="009B5D91">
        <w:rPr>
          <w:rFonts w:ascii="Arial" w:hAnsi="Arial" w:cs="Arial"/>
          <w:color w:val="000000"/>
          <w:sz w:val="18"/>
          <w:szCs w:val="18"/>
          <w:lang w:eastAsia="hr-HR"/>
        </w:rPr>
        <w:tab/>
      </w:r>
      <w:r w:rsidR="009B5D91">
        <w:rPr>
          <w:rFonts w:ascii="Arial" w:hAnsi="Arial" w:cs="Arial"/>
          <w:color w:val="000000"/>
          <w:sz w:val="18"/>
          <w:szCs w:val="18"/>
          <w:lang w:eastAsia="hr-HR"/>
        </w:rPr>
        <w:tab/>
        <w:t xml:space="preserve">             </w:t>
      </w:r>
      <w:r w:rsidR="004A205F" w:rsidRPr="004A205F">
        <w:rPr>
          <w:rFonts w:ascii="Arial" w:hAnsi="Arial" w:cs="Arial"/>
          <w:color w:val="000000"/>
          <w:sz w:val="18"/>
          <w:szCs w:val="18"/>
          <w:lang w:eastAsia="hr-HR"/>
        </w:rPr>
        <w:t>50,435,486</w:t>
      </w:r>
      <w:r w:rsidR="004A205F">
        <w:rPr>
          <w:rFonts w:ascii="Arial" w:hAnsi="Arial" w:cs="Arial"/>
          <w:color w:val="000000"/>
          <w:sz w:val="18"/>
          <w:szCs w:val="18"/>
          <w:lang w:eastAsia="hr-HR"/>
        </w:rPr>
        <w:t xml:space="preserve"> </w:t>
      </w:r>
      <w:r w:rsidR="009B5D91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kn </w:t>
      </w:r>
    </w:p>
    <w:p w:rsidR="004A205F" w:rsidRDefault="004A205F" w:rsidP="004A205F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18"/>
          <w:szCs w:val="18"/>
          <w:lang w:eastAsia="hr-HR"/>
        </w:rPr>
      </w:pPr>
      <w:r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CEF - </w:t>
      </w:r>
      <w:r w:rsidR="00921C29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hr-HR" w:eastAsia="hr-HR"/>
        </w:rPr>
        <w:t>Studije za</w:t>
      </w:r>
      <w:r w:rsidR="00065F15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nadogradnju infrastr. luke Rijeka -</w:t>
      </w:r>
      <w:r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 proširenje Praškog pristaništa u iznosu od </w:t>
      </w:r>
      <w:r>
        <w:rPr>
          <w:rFonts w:ascii="Arial" w:hAnsi="Arial" w:cs="Arial"/>
          <w:color w:val="000000"/>
          <w:sz w:val="18"/>
          <w:szCs w:val="18"/>
          <w:lang w:val="hr-HR" w:eastAsia="hr-HR"/>
        </w:rPr>
        <w:tab/>
      </w:r>
      <w:r>
        <w:rPr>
          <w:rFonts w:ascii="Arial" w:hAnsi="Arial" w:cs="Arial"/>
          <w:color w:val="000000"/>
          <w:sz w:val="18"/>
          <w:szCs w:val="18"/>
          <w:lang w:val="hr-HR" w:eastAsia="hr-HR"/>
        </w:rPr>
        <w:tab/>
      </w:r>
      <w:r w:rsidRPr="004A205F">
        <w:rPr>
          <w:rFonts w:ascii="Arial" w:hAnsi="Arial" w:cs="Arial"/>
          <w:color w:val="000000"/>
          <w:sz w:val="18"/>
          <w:szCs w:val="18"/>
          <w:lang w:eastAsia="hr-HR"/>
        </w:rPr>
        <w:t xml:space="preserve">       </w:t>
      </w:r>
      <w:r>
        <w:rPr>
          <w:rFonts w:ascii="Arial" w:hAnsi="Arial" w:cs="Arial"/>
          <w:color w:val="000000"/>
          <w:sz w:val="18"/>
          <w:szCs w:val="18"/>
          <w:lang w:eastAsia="hr-HR"/>
        </w:rPr>
        <w:t xml:space="preserve">     </w:t>
      </w:r>
      <w:r w:rsidR="00065F15">
        <w:rPr>
          <w:rFonts w:ascii="Arial" w:hAnsi="Arial" w:cs="Arial"/>
          <w:color w:val="000000"/>
          <w:sz w:val="18"/>
          <w:szCs w:val="18"/>
          <w:lang w:eastAsia="hr-HR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eastAsia="hr-HR"/>
        </w:rPr>
        <w:t xml:space="preserve"> </w:t>
      </w:r>
      <w:r w:rsidR="009B5D91">
        <w:rPr>
          <w:rFonts w:ascii="Arial" w:hAnsi="Arial" w:cs="Arial"/>
          <w:color w:val="000000"/>
          <w:sz w:val="18"/>
          <w:szCs w:val="18"/>
          <w:lang w:eastAsia="hr-HR"/>
        </w:rPr>
        <w:tab/>
      </w:r>
      <w:r w:rsidR="009B5D91">
        <w:rPr>
          <w:rFonts w:ascii="Arial" w:hAnsi="Arial" w:cs="Arial"/>
          <w:color w:val="000000"/>
          <w:sz w:val="18"/>
          <w:szCs w:val="18"/>
          <w:lang w:eastAsia="hr-HR"/>
        </w:rPr>
        <w:tab/>
      </w:r>
      <w:r w:rsidR="009B5D91">
        <w:rPr>
          <w:rFonts w:ascii="Arial" w:hAnsi="Arial" w:cs="Arial"/>
          <w:color w:val="000000"/>
          <w:sz w:val="18"/>
          <w:szCs w:val="18"/>
          <w:lang w:eastAsia="hr-HR"/>
        </w:rPr>
        <w:tab/>
      </w:r>
      <w:r w:rsidR="009B5D91">
        <w:rPr>
          <w:rFonts w:ascii="Arial" w:hAnsi="Arial" w:cs="Arial"/>
          <w:color w:val="000000"/>
          <w:sz w:val="18"/>
          <w:szCs w:val="18"/>
          <w:lang w:eastAsia="hr-HR"/>
        </w:rPr>
        <w:tab/>
      </w:r>
      <w:r w:rsidR="009B5D91">
        <w:rPr>
          <w:rFonts w:ascii="Arial" w:hAnsi="Arial" w:cs="Arial"/>
          <w:color w:val="000000"/>
          <w:sz w:val="18"/>
          <w:szCs w:val="18"/>
          <w:lang w:eastAsia="hr-HR"/>
        </w:rPr>
        <w:tab/>
      </w:r>
      <w:r w:rsidR="009B5D91">
        <w:rPr>
          <w:rFonts w:ascii="Arial" w:hAnsi="Arial" w:cs="Arial"/>
          <w:color w:val="000000"/>
          <w:sz w:val="18"/>
          <w:szCs w:val="18"/>
          <w:lang w:eastAsia="hr-HR"/>
        </w:rPr>
        <w:tab/>
      </w:r>
      <w:r w:rsidR="009B5D91">
        <w:rPr>
          <w:rFonts w:ascii="Arial" w:hAnsi="Arial" w:cs="Arial"/>
          <w:color w:val="000000"/>
          <w:sz w:val="18"/>
          <w:szCs w:val="18"/>
          <w:lang w:eastAsia="hr-HR"/>
        </w:rPr>
        <w:tab/>
      </w:r>
      <w:r w:rsidR="009B5D91">
        <w:rPr>
          <w:rFonts w:ascii="Arial" w:hAnsi="Arial" w:cs="Arial"/>
          <w:color w:val="000000"/>
          <w:sz w:val="18"/>
          <w:szCs w:val="18"/>
          <w:lang w:eastAsia="hr-HR"/>
        </w:rPr>
        <w:tab/>
      </w:r>
      <w:r w:rsidRPr="004A205F">
        <w:rPr>
          <w:rFonts w:ascii="Arial" w:hAnsi="Arial" w:cs="Arial"/>
          <w:color w:val="000000"/>
          <w:sz w:val="18"/>
          <w:szCs w:val="18"/>
          <w:lang w:eastAsia="hr-HR"/>
        </w:rPr>
        <w:t>6,748,03</w:t>
      </w:r>
      <w:r w:rsidR="00AC7341">
        <w:rPr>
          <w:rFonts w:ascii="Arial" w:hAnsi="Arial" w:cs="Arial"/>
          <w:color w:val="000000"/>
          <w:sz w:val="18"/>
          <w:szCs w:val="18"/>
          <w:lang w:eastAsia="hr-HR"/>
        </w:rPr>
        <w:t>4,</w:t>
      </w:r>
      <w:r>
        <w:rPr>
          <w:rFonts w:ascii="Arial" w:hAnsi="Arial" w:cs="Arial"/>
          <w:color w:val="000000"/>
          <w:sz w:val="18"/>
          <w:szCs w:val="18"/>
          <w:lang w:eastAsia="hr-HR"/>
        </w:rPr>
        <w:t>kn</w:t>
      </w:r>
      <w:r w:rsidR="00C46A86">
        <w:rPr>
          <w:rFonts w:ascii="Arial" w:hAnsi="Arial" w:cs="Arial"/>
          <w:color w:val="000000"/>
          <w:sz w:val="18"/>
          <w:szCs w:val="18"/>
          <w:lang w:eastAsia="hr-HR"/>
        </w:rPr>
        <w:t xml:space="preserve">. </w:t>
      </w:r>
    </w:p>
    <w:p w:rsidR="00C46A86" w:rsidRDefault="00C46A86" w:rsidP="00C46A86">
      <w:pPr>
        <w:ind w:left="1428"/>
        <w:jc w:val="both"/>
        <w:rPr>
          <w:rFonts w:ascii="Arial" w:hAnsi="Arial" w:cs="Arial"/>
          <w:color w:val="000000"/>
          <w:sz w:val="18"/>
          <w:szCs w:val="18"/>
          <w:lang w:eastAsia="hr-HR"/>
        </w:rPr>
      </w:pPr>
    </w:p>
    <w:p w:rsidR="006D24B3" w:rsidRPr="004A205F" w:rsidRDefault="00C46A86" w:rsidP="00B7285F">
      <w:pPr>
        <w:jc w:val="both"/>
        <w:rPr>
          <w:rFonts w:ascii="Arial" w:hAnsi="Arial" w:cs="Arial"/>
          <w:color w:val="000000"/>
          <w:sz w:val="18"/>
          <w:szCs w:val="18"/>
          <w:lang w:eastAsia="hr-HR"/>
        </w:rPr>
      </w:pPr>
      <w:r>
        <w:rPr>
          <w:rFonts w:ascii="Arial" w:hAnsi="Arial" w:cs="Arial"/>
          <w:color w:val="000000"/>
          <w:sz w:val="18"/>
          <w:szCs w:val="18"/>
          <w:lang w:eastAsia="hr-HR"/>
        </w:rPr>
        <w:t>P</w:t>
      </w:r>
      <w:r w:rsidR="006D24B3">
        <w:rPr>
          <w:rFonts w:ascii="Arial" w:hAnsi="Arial" w:cs="Arial"/>
          <w:color w:val="000000"/>
          <w:sz w:val="18"/>
          <w:szCs w:val="18"/>
          <w:lang w:eastAsia="hr-HR"/>
        </w:rPr>
        <w:t xml:space="preserve">rihod </w:t>
      </w:r>
      <w:proofErr w:type="gramStart"/>
      <w:r w:rsidR="006D24B3">
        <w:rPr>
          <w:rFonts w:ascii="Arial" w:hAnsi="Arial" w:cs="Arial"/>
          <w:color w:val="000000"/>
          <w:sz w:val="18"/>
          <w:szCs w:val="18"/>
          <w:lang w:eastAsia="hr-HR"/>
        </w:rPr>
        <w:t>od</w:t>
      </w:r>
      <w:proofErr w:type="gramEnd"/>
      <w:r w:rsidR="006D24B3">
        <w:rPr>
          <w:rFonts w:ascii="Arial" w:hAnsi="Arial" w:cs="Arial"/>
          <w:color w:val="000000"/>
          <w:sz w:val="18"/>
          <w:szCs w:val="18"/>
          <w:lang w:eastAsia="hr-HR"/>
        </w:rPr>
        <w:t xml:space="preserve"> kapitalne pomoći </w:t>
      </w:r>
      <w:r w:rsidR="000056CE">
        <w:rPr>
          <w:rFonts w:ascii="Arial" w:hAnsi="Arial" w:cs="Arial"/>
          <w:color w:val="000000"/>
          <w:sz w:val="18"/>
          <w:szCs w:val="18"/>
          <w:lang w:eastAsia="hr-HR"/>
        </w:rPr>
        <w:t xml:space="preserve">proračunskim korisnicima iz proračuna koji im nije nadležan (Grad Rijeka – sredstva spomeničke rente) </w:t>
      </w:r>
      <w:r>
        <w:rPr>
          <w:rFonts w:ascii="Arial" w:hAnsi="Arial" w:cs="Arial"/>
          <w:color w:val="000000"/>
          <w:sz w:val="18"/>
          <w:szCs w:val="18"/>
          <w:lang w:eastAsia="hr-HR"/>
        </w:rPr>
        <w:t xml:space="preserve">ostvaren je </w:t>
      </w:r>
      <w:r w:rsidR="000056CE">
        <w:rPr>
          <w:rFonts w:ascii="Arial" w:hAnsi="Arial" w:cs="Arial"/>
          <w:color w:val="000000"/>
          <w:sz w:val="18"/>
          <w:szCs w:val="18"/>
          <w:lang w:eastAsia="hr-HR"/>
        </w:rPr>
        <w:t>u iznosu od</w:t>
      </w:r>
      <w:r w:rsidR="00412202">
        <w:rPr>
          <w:rFonts w:ascii="Arial" w:hAnsi="Arial" w:cs="Arial"/>
          <w:color w:val="000000"/>
          <w:sz w:val="18"/>
          <w:szCs w:val="18"/>
          <w:lang w:eastAsia="hr-HR"/>
        </w:rPr>
        <w:t xml:space="preserve"> </w:t>
      </w:r>
      <w:r w:rsidR="000056CE">
        <w:rPr>
          <w:rFonts w:ascii="Arial" w:hAnsi="Arial" w:cs="Arial"/>
          <w:color w:val="000000"/>
          <w:sz w:val="18"/>
          <w:szCs w:val="18"/>
          <w:lang w:eastAsia="hr-HR"/>
        </w:rPr>
        <w:t>1.000.000 kn.</w:t>
      </w:r>
    </w:p>
    <w:p w:rsidR="003D2A89" w:rsidRPr="00F57B05" w:rsidRDefault="003D2A89" w:rsidP="0049010F">
      <w:pPr>
        <w:ind w:left="1428"/>
        <w:jc w:val="both"/>
        <w:rPr>
          <w:rFonts w:ascii="Arial" w:hAnsi="Arial" w:cs="Arial"/>
          <w:sz w:val="18"/>
          <w:szCs w:val="18"/>
          <w:lang w:val="hr-HR" w:eastAsia="hr-HR"/>
        </w:rPr>
      </w:pPr>
    </w:p>
    <w:p w:rsidR="00C84DA9" w:rsidRPr="00F57B05" w:rsidRDefault="00C84DA9" w:rsidP="0049010F">
      <w:pPr>
        <w:ind w:left="708"/>
        <w:jc w:val="both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C84DA9" w:rsidRDefault="00C84DA9" w:rsidP="0049010F">
      <w:pPr>
        <w:ind w:left="708"/>
        <w:jc w:val="both"/>
        <w:rPr>
          <w:rFonts w:ascii="Arial" w:hAnsi="Arial" w:cs="Arial"/>
          <w:color w:val="000000"/>
          <w:sz w:val="18"/>
          <w:szCs w:val="18"/>
          <w:lang w:val="hr-HR" w:eastAsia="hr-HR"/>
        </w:rPr>
      </w:pPr>
      <w:r w:rsidRPr="00F57B05">
        <w:rPr>
          <w:rFonts w:ascii="Arial" w:hAnsi="Arial" w:cs="Arial"/>
          <w:b/>
          <w:color w:val="000000"/>
          <w:sz w:val="18"/>
          <w:szCs w:val="18"/>
          <w:lang w:val="hr-HR" w:eastAsia="hr-HR"/>
        </w:rPr>
        <w:t>Prihodi od imovine</w:t>
      </w:r>
      <w:r w:rsidRPr="00F57B05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(</w:t>
      </w:r>
      <w:r w:rsidR="006659EC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izvori fin. 31 i 43 </w:t>
      </w:r>
      <w:r w:rsidR="00E11F9A" w:rsidRPr="00E11F9A">
        <w:rPr>
          <w:rFonts w:ascii="Arial" w:hAnsi="Arial" w:cs="Arial"/>
          <w:color w:val="000000"/>
          <w:sz w:val="18"/>
          <w:szCs w:val="18"/>
          <w:lang w:val="hr-HR" w:eastAsia="hr-HR"/>
        </w:rPr>
        <w:t>–</w:t>
      </w:r>
      <w:r w:rsidR="006659EC" w:rsidRPr="00E11F9A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</w:t>
      </w:r>
      <w:r w:rsidRPr="00E11F9A">
        <w:rPr>
          <w:rFonts w:ascii="Arial" w:hAnsi="Arial" w:cs="Arial"/>
          <w:color w:val="000000"/>
          <w:sz w:val="18"/>
          <w:szCs w:val="18"/>
          <w:lang w:val="hr-HR" w:eastAsia="hr-HR"/>
        </w:rPr>
        <w:t>AOP</w:t>
      </w:r>
      <w:r w:rsidR="00E11F9A" w:rsidRPr="00E11F9A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077</w:t>
      </w:r>
      <w:r w:rsidRPr="00E11F9A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)</w:t>
      </w:r>
    </w:p>
    <w:p w:rsidR="002D10B6" w:rsidRDefault="002D10B6" w:rsidP="0049010F">
      <w:pPr>
        <w:ind w:left="708"/>
        <w:jc w:val="both"/>
        <w:rPr>
          <w:rFonts w:ascii="Arial" w:hAnsi="Arial" w:cs="Arial"/>
          <w:color w:val="000000"/>
          <w:sz w:val="18"/>
          <w:szCs w:val="18"/>
          <w:lang w:val="hr-HR" w:eastAsia="hr-HR"/>
        </w:rPr>
      </w:pPr>
    </w:p>
    <w:p w:rsidR="002D10B6" w:rsidRDefault="002D10B6" w:rsidP="00B7285F">
      <w:pPr>
        <w:jc w:val="both"/>
        <w:rPr>
          <w:rFonts w:ascii="Arial" w:hAnsi="Arial" w:cs="Arial"/>
          <w:color w:val="000000"/>
          <w:sz w:val="18"/>
          <w:szCs w:val="18"/>
          <w:lang w:val="hr-HR" w:eastAsia="hr-HR"/>
        </w:rPr>
      </w:pPr>
      <w:r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Prihodi od imovine za 2021.godinu ukupno iznose </w:t>
      </w:r>
      <w:r w:rsidR="00E11F9A" w:rsidRPr="00E11F9A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25.877.569,25 </w:t>
      </w:r>
      <w:r>
        <w:rPr>
          <w:rFonts w:ascii="Arial" w:hAnsi="Arial" w:cs="Arial"/>
          <w:color w:val="000000"/>
          <w:sz w:val="18"/>
          <w:szCs w:val="18"/>
          <w:lang w:val="hr-HR" w:eastAsia="hr-HR"/>
        </w:rPr>
        <w:t>kn i u najvećem dijelu sastoje se od prihoda od nefinancijske imovine odnosno od naknade za koncesiju (24.3</w:t>
      </w:r>
      <w:r w:rsidR="00E11F9A">
        <w:rPr>
          <w:rFonts w:ascii="Arial" w:hAnsi="Arial" w:cs="Arial"/>
          <w:color w:val="000000"/>
          <w:sz w:val="18"/>
          <w:szCs w:val="18"/>
          <w:lang w:val="hr-HR" w:eastAsia="hr-HR"/>
        </w:rPr>
        <w:t>69</w:t>
      </w:r>
      <w:r>
        <w:rPr>
          <w:rFonts w:ascii="Arial" w:hAnsi="Arial" w:cs="Arial"/>
          <w:color w:val="000000"/>
          <w:sz w:val="18"/>
          <w:szCs w:val="18"/>
          <w:lang w:val="hr-HR" w:eastAsia="hr-HR"/>
        </w:rPr>
        <w:t>.</w:t>
      </w:r>
      <w:r w:rsidR="00E11F9A">
        <w:rPr>
          <w:rFonts w:ascii="Arial" w:hAnsi="Arial" w:cs="Arial"/>
          <w:color w:val="000000"/>
          <w:sz w:val="18"/>
          <w:szCs w:val="18"/>
          <w:lang w:val="hr-HR" w:eastAsia="hr-HR"/>
        </w:rPr>
        <w:t>218,99</w:t>
      </w:r>
      <w:r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kn).  </w:t>
      </w:r>
    </w:p>
    <w:p w:rsidR="002D10B6" w:rsidRPr="00F57B05" w:rsidRDefault="002D10B6" w:rsidP="00B7285F">
      <w:pPr>
        <w:jc w:val="both"/>
        <w:rPr>
          <w:rFonts w:ascii="Arial" w:hAnsi="Arial" w:cs="Arial"/>
          <w:color w:val="000000"/>
          <w:sz w:val="18"/>
          <w:szCs w:val="18"/>
          <w:lang w:val="hr-HR" w:eastAsia="hr-HR"/>
        </w:rPr>
      </w:pPr>
      <w:r>
        <w:rPr>
          <w:rFonts w:ascii="Arial" w:hAnsi="Arial" w:cs="Arial"/>
          <w:color w:val="000000"/>
          <w:sz w:val="18"/>
          <w:szCs w:val="18"/>
          <w:lang w:val="hr-HR" w:eastAsia="hr-HR"/>
        </w:rPr>
        <w:t>Prihodi od financijske imovine ukupno iznose 1.5</w:t>
      </w:r>
      <w:r w:rsidR="00E11F9A">
        <w:rPr>
          <w:rFonts w:ascii="Arial" w:hAnsi="Arial" w:cs="Arial"/>
          <w:color w:val="000000"/>
          <w:sz w:val="18"/>
          <w:szCs w:val="18"/>
          <w:lang w:val="hr-HR" w:eastAsia="hr-HR"/>
        </w:rPr>
        <w:t>08</w:t>
      </w:r>
      <w:r>
        <w:rPr>
          <w:rFonts w:ascii="Arial" w:hAnsi="Arial" w:cs="Arial"/>
          <w:color w:val="000000"/>
          <w:sz w:val="18"/>
          <w:szCs w:val="18"/>
          <w:lang w:val="hr-HR" w:eastAsia="hr-HR"/>
        </w:rPr>
        <w:t>.</w:t>
      </w:r>
      <w:r w:rsidR="00E11F9A">
        <w:rPr>
          <w:rFonts w:ascii="Arial" w:hAnsi="Arial" w:cs="Arial"/>
          <w:color w:val="000000"/>
          <w:sz w:val="18"/>
          <w:szCs w:val="18"/>
          <w:lang w:val="hr-HR" w:eastAsia="hr-HR"/>
        </w:rPr>
        <w:t>350</w:t>
      </w:r>
      <w:r>
        <w:rPr>
          <w:rFonts w:ascii="Arial" w:hAnsi="Arial" w:cs="Arial"/>
          <w:color w:val="000000"/>
          <w:sz w:val="18"/>
          <w:szCs w:val="18"/>
          <w:lang w:val="hr-HR" w:eastAsia="hr-HR"/>
        </w:rPr>
        <w:t>,</w:t>
      </w:r>
      <w:r w:rsidR="00E11F9A">
        <w:rPr>
          <w:rFonts w:ascii="Arial" w:hAnsi="Arial" w:cs="Arial"/>
          <w:color w:val="000000"/>
          <w:sz w:val="18"/>
          <w:szCs w:val="18"/>
          <w:lang w:val="hr-HR" w:eastAsia="hr-HR"/>
        </w:rPr>
        <w:t>26</w:t>
      </w:r>
      <w:r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kn i odnose se na prihode od pozitivnih tečajnih razlika i razlika zbog primjene valutne klauzule (1.3</w:t>
      </w:r>
      <w:r w:rsidR="00E11F9A">
        <w:rPr>
          <w:rFonts w:ascii="Arial" w:hAnsi="Arial" w:cs="Arial"/>
          <w:color w:val="000000"/>
          <w:sz w:val="18"/>
          <w:szCs w:val="18"/>
          <w:lang w:val="hr-HR" w:eastAsia="hr-HR"/>
        </w:rPr>
        <w:t>24</w:t>
      </w:r>
      <w:r>
        <w:rPr>
          <w:rFonts w:ascii="Arial" w:hAnsi="Arial" w:cs="Arial"/>
          <w:color w:val="000000"/>
          <w:sz w:val="18"/>
          <w:szCs w:val="18"/>
          <w:lang w:val="hr-HR" w:eastAsia="hr-HR"/>
        </w:rPr>
        <w:t>.</w:t>
      </w:r>
      <w:r w:rsidR="00E11F9A">
        <w:rPr>
          <w:rFonts w:ascii="Arial" w:hAnsi="Arial" w:cs="Arial"/>
          <w:color w:val="000000"/>
          <w:sz w:val="18"/>
          <w:szCs w:val="18"/>
          <w:lang w:val="hr-HR" w:eastAsia="hr-HR"/>
        </w:rPr>
        <w:t>691</w:t>
      </w:r>
      <w:r>
        <w:rPr>
          <w:rFonts w:ascii="Arial" w:hAnsi="Arial" w:cs="Arial"/>
          <w:color w:val="000000"/>
          <w:sz w:val="18"/>
          <w:szCs w:val="18"/>
          <w:lang w:val="hr-HR" w:eastAsia="hr-HR"/>
        </w:rPr>
        <w:t>,</w:t>
      </w:r>
      <w:r w:rsidR="00E11F9A">
        <w:rPr>
          <w:rFonts w:ascii="Arial" w:hAnsi="Arial" w:cs="Arial"/>
          <w:color w:val="000000"/>
          <w:sz w:val="18"/>
          <w:szCs w:val="18"/>
          <w:lang w:val="hr-HR" w:eastAsia="hr-HR"/>
        </w:rPr>
        <w:t>88</w:t>
      </w:r>
      <w:r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kn) te na prihode od zateznih kamata i kamate na depozite i oročenja.</w:t>
      </w:r>
    </w:p>
    <w:p w:rsidR="00C84DA9" w:rsidRPr="00F57B05" w:rsidRDefault="002D10B6" w:rsidP="0049010F">
      <w:pPr>
        <w:ind w:left="708"/>
        <w:jc w:val="both"/>
        <w:rPr>
          <w:rFonts w:ascii="Arial" w:hAnsi="Arial" w:cs="Arial"/>
          <w:color w:val="000000"/>
          <w:sz w:val="18"/>
          <w:szCs w:val="18"/>
          <w:lang w:val="hr-HR" w:eastAsia="hr-HR"/>
        </w:rPr>
      </w:pPr>
      <w:r>
        <w:rPr>
          <w:rFonts w:ascii="Arial" w:hAnsi="Arial" w:cs="Arial"/>
          <w:color w:val="000000"/>
          <w:sz w:val="18"/>
          <w:szCs w:val="18"/>
          <w:lang w:val="hr-HR" w:eastAsia="hr-HR"/>
        </w:rPr>
        <w:t>.</w:t>
      </w:r>
    </w:p>
    <w:p w:rsidR="00C84DA9" w:rsidRDefault="001B783B" w:rsidP="0049010F">
      <w:pPr>
        <w:ind w:left="708"/>
        <w:jc w:val="both"/>
        <w:rPr>
          <w:rFonts w:ascii="Arial" w:hAnsi="Arial" w:cs="Arial"/>
          <w:sz w:val="18"/>
          <w:szCs w:val="18"/>
          <w:lang w:val="hr-HR" w:eastAsia="hr-HR"/>
        </w:rPr>
      </w:pPr>
      <w:r>
        <w:rPr>
          <w:rFonts w:ascii="Arial" w:hAnsi="Arial" w:cs="Arial"/>
          <w:b/>
          <w:sz w:val="18"/>
          <w:szCs w:val="18"/>
          <w:lang w:val="hr-HR" w:eastAsia="hr-HR"/>
        </w:rPr>
        <w:t>Prihodi</w:t>
      </w:r>
      <w:r w:rsidR="00C84DA9" w:rsidRPr="00F57B05">
        <w:rPr>
          <w:rFonts w:ascii="Arial" w:hAnsi="Arial" w:cs="Arial"/>
          <w:b/>
          <w:sz w:val="18"/>
          <w:szCs w:val="18"/>
          <w:lang w:val="hr-HR" w:eastAsia="hr-HR"/>
        </w:rPr>
        <w:t xml:space="preserve"> od upravnih i administrativnih pristojbi, pristojbi po posebnim propisima i naknada </w:t>
      </w:r>
      <w:r w:rsidR="00C84DA9" w:rsidRPr="00CE5E28">
        <w:rPr>
          <w:rFonts w:ascii="Arial" w:hAnsi="Arial" w:cs="Arial"/>
          <w:sz w:val="18"/>
          <w:szCs w:val="18"/>
          <w:lang w:val="hr-HR" w:eastAsia="hr-HR"/>
        </w:rPr>
        <w:t>(</w:t>
      </w:r>
      <w:r w:rsidR="00703D49" w:rsidRPr="00CE5E28">
        <w:rPr>
          <w:rFonts w:ascii="Arial" w:hAnsi="Arial" w:cs="Arial"/>
          <w:sz w:val="18"/>
          <w:szCs w:val="18"/>
          <w:lang w:val="hr-HR" w:eastAsia="hr-HR"/>
        </w:rPr>
        <w:t>izvor</w:t>
      </w:r>
      <w:r w:rsidR="006659EC" w:rsidRPr="00CE5E28">
        <w:rPr>
          <w:rFonts w:ascii="Arial" w:hAnsi="Arial" w:cs="Arial"/>
          <w:sz w:val="18"/>
          <w:szCs w:val="18"/>
          <w:lang w:val="hr-HR" w:eastAsia="hr-HR"/>
        </w:rPr>
        <w:t xml:space="preserve"> fin. </w:t>
      </w:r>
      <w:r w:rsidR="00423A85" w:rsidRPr="00CE5E28">
        <w:rPr>
          <w:rFonts w:ascii="Arial" w:hAnsi="Arial" w:cs="Arial"/>
          <w:sz w:val="18"/>
          <w:szCs w:val="18"/>
          <w:lang w:val="hr-HR" w:eastAsia="hr-HR"/>
        </w:rPr>
        <w:t xml:space="preserve">43 - </w:t>
      </w:r>
      <w:r w:rsidR="00C84DA9" w:rsidRPr="00CE5E28">
        <w:rPr>
          <w:rFonts w:ascii="Arial" w:hAnsi="Arial" w:cs="Arial"/>
          <w:sz w:val="18"/>
          <w:szCs w:val="18"/>
          <w:lang w:val="hr-HR" w:eastAsia="hr-HR"/>
        </w:rPr>
        <w:t xml:space="preserve">AOP </w:t>
      </w:r>
      <w:r w:rsidR="00CE5E28" w:rsidRPr="00CE5E28">
        <w:rPr>
          <w:rFonts w:ascii="Arial" w:hAnsi="Arial" w:cs="Arial"/>
          <w:sz w:val="18"/>
          <w:szCs w:val="18"/>
          <w:lang w:val="hr-HR" w:eastAsia="hr-HR"/>
        </w:rPr>
        <w:t>101</w:t>
      </w:r>
      <w:r w:rsidR="00C84DA9" w:rsidRPr="00CE5E28">
        <w:rPr>
          <w:rFonts w:ascii="Arial" w:hAnsi="Arial" w:cs="Arial"/>
          <w:sz w:val="18"/>
          <w:szCs w:val="18"/>
          <w:lang w:val="hr-HR" w:eastAsia="hr-HR"/>
        </w:rPr>
        <w:t>)</w:t>
      </w:r>
    </w:p>
    <w:p w:rsidR="00BB5894" w:rsidRDefault="00BB5894" w:rsidP="0049010F">
      <w:pPr>
        <w:ind w:left="708"/>
        <w:jc w:val="both"/>
        <w:rPr>
          <w:rFonts w:ascii="Arial" w:hAnsi="Arial" w:cs="Arial"/>
          <w:sz w:val="18"/>
          <w:szCs w:val="18"/>
          <w:lang w:val="hr-HR" w:eastAsia="hr-HR"/>
        </w:rPr>
      </w:pPr>
    </w:p>
    <w:p w:rsidR="00713670" w:rsidRDefault="00BB5894" w:rsidP="00B7285F">
      <w:pPr>
        <w:jc w:val="both"/>
        <w:rPr>
          <w:rFonts w:ascii="Arial" w:hAnsi="Arial" w:cs="Arial"/>
          <w:sz w:val="18"/>
          <w:szCs w:val="18"/>
          <w:lang w:val="hr-HR" w:eastAsia="hr-HR"/>
        </w:rPr>
      </w:pPr>
      <w:r>
        <w:rPr>
          <w:rFonts w:ascii="Arial" w:hAnsi="Arial" w:cs="Arial"/>
          <w:sz w:val="18"/>
          <w:szCs w:val="18"/>
          <w:lang w:val="hr-HR" w:eastAsia="hr-HR"/>
        </w:rPr>
        <w:t xml:space="preserve">Ukupni prihodi na ovoj poziciji iznose </w:t>
      </w:r>
      <w:r w:rsidR="005E2F55" w:rsidRPr="005E2F55">
        <w:rPr>
          <w:rFonts w:ascii="Arial" w:hAnsi="Arial" w:cs="Arial"/>
          <w:sz w:val="18"/>
          <w:szCs w:val="18"/>
          <w:lang w:val="hr-HR" w:eastAsia="hr-HR"/>
        </w:rPr>
        <w:t xml:space="preserve">60.151.007,92 </w:t>
      </w:r>
      <w:r>
        <w:rPr>
          <w:rFonts w:ascii="Arial" w:hAnsi="Arial" w:cs="Arial"/>
          <w:sz w:val="18"/>
          <w:szCs w:val="18"/>
          <w:lang w:val="hr-HR" w:eastAsia="hr-HR"/>
        </w:rPr>
        <w:t>kn i u najvećem dijelu se odnose na naknade i pristojbe za upotrebu obale, pristojbe za vez, odobrenja za ulaz na lučko područje, naknade za korištenje slobodne zone, naknade za korištenje stalno učvršćenih dizalica i sl.(60.0</w:t>
      </w:r>
      <w:r w:rsidR="005E2F55">
        <w:rPr>
          <w:rFonts w:ascii="Arial" w:hAnsi="Arial" w:cs="Arial"/>
          <w:sz w:val="18"/>
          <w:szCs w:val="18"/>
          <w:lang w:val="hr-HR" w:eastAsia="hr-HR"/>
        </w:rPr>
        <w:t>84</w:t>
      </w:r>
      <w:r>
        <w:rPr>
          <w:rFonts w:ascii="Arial" w:hAnsi="Arial" w:cs="Arial"/>
          <w:sz w:val="18"/>
          <w:szCs w:val="18"/>
          <w:lang w:val="hr-HR" w:eastAsia="hr-HR"/>
        </w:rPr>
        <w:t>.</w:t>
      </w:r>
      <w:r w:rsidR="005E2F55">
        <w:rPr>
          <w:rFonts w:ascii="Arial" w:hAnsi="Arial" w:cs="Arial"/>
          <w:sz w:val="18"/>
          <w:szCs w:val="18"/>
          <w:lang w:val="hr-HR" w:eastAsia="hr-HR"/>
        </w:rPr>
        <w:t>684,35</w:t>
      </w:r>
      <w:r>
        <w:rPr>
          <w:rFonts w:ascii="Arial" w:hAnsi="Arial" w:cs="Arial"/>
          <w:sz w:val="18"/>
          <w:szCs w:val="18"/>
          <w:lang w:val="hr-HR" w:eastAsia="hr-HR"/>
        </w:rPr>
        <w:t xml:space="preserve"> kn). </w:t>
      </w:r>
    </w:p>
    <w:p w:rsidR="006B56A6" w:rsidRDefault="006B56A6" w:rsidP="0049010F">
      <w:pPr>
        <w:ind w:left="708"/>
        <w:jc w:val="both"/>
        <w:rPr>
          <w:rFonts w:ascii="Arial" w:hAnsi="Arial" w:cs="Arial"/>
          <w:sz w:val="18"/>
          <w:szCs w:val="18"/>
          <w:lang w:val="hr-HR" w:eastAsia="hr-HR"/>
        </w:rPr>
      </w:pPr>
    </w:p>
    <w:p w:rsidR="006B56A6" w:rsidRDefault="006B56A6" w:rsidP="00B7285F">
      <w:pPr>
        <w:jc w:val="both"/>
        <w:rPr>
          <w:rFonts w:ascii="Arial" w:hAnsi="Arial" w:cs="Arial"/>
          <w:sz w:val="18"/>
          <w:szCs w:val="18"/>
          <w:lang w:val="hr-HR" w:eastAsia="hr-HR"/>
        </w:rPr>
      </w:pPr>
      <w:r>
        <w:rPr>
          <w:rFonts w:ascii="Arial" w:hAnsi="Arial" w:cs="Arial"/>
          <w:sz w:val="18"/>
          <w:szCs w:val="18"/>
          <w:lang w:val="hr-HR" w:eastAsia="hr-HR"/>
        </w:rPr>
        <w:t>Prihodi po posebnim propisima za 2021. godinu iznose 6</w:t>
      </w:r>
      <w:r w:rsidR="005E2F55">
        <w:rPr>
          <w:rFonts w:ascii="Arial" w:hAnsi="Arial" w:cs="Arial"/>
          <w:sz w:val="18"/>
          <w:szCs w:val="18"/>
          <w:lang w:val="hr-HR" w:eastAsia="hr-HR"/>
        </w:rPr>
        <w:t>6</w:t>
      </w:r>
      <w:r>
        <w:rPr>
          <w:rFonts w:ascii="Arial" w:hAnsi="Arial" w:cs="Arial"/>
          <w:sz w:val="18"/>
          <w:szCs w:val="18"/>
          <w:lang w:val="hr-HR" w:eastAsia="hr-HR"/>
        </w:rPr>
        <w:t>.</w:t>
      </w:r>
      <w:r w:rsidR="005E2F55">
        <w:rPr>
          <w:rFonts w:ascii="Arial" w:hAnsi="Arial" w:cs="Arial"/>
          <w:sz w:val="18"/>
          <w:szCs w:val="18"/>
          <w:lang w:val="hr-HR" w:eastAsia="hr-HR"/>
        </w:rPr>
        <w:t>323</w:t>
      </w:r>
      <w:r>
        <w:rPr>
          <w:rFonts w:ascii="Arial" w:hAnsi="Arial" w:cs="Arial"/>
          <w:sz w:val="18"/>
          <w:szCs w:val="18"/>
          <w:lang w:val="hr-HR" w:eastAsia="hr-HR"/>
        </w:rPr>
        <w:t>,</w:t>
      </w:r>
      <w:r w:rsidR="005E2F55">
        <w:rPr>
          <w:rFonts w:ascii="Arial" w:hAnsi="Arial" w:cs="Arial"/>
          <w:sz w:val="18"/>
          <w:szCs w:val="18"/>
          <w:lang w:val="hr-HR" w:eastAsia="hr-HR"/>
        </w:rPr>
        <w:t>57</w:t>
      </w:r>
      <w:r>
        <w:rPr>
          <w:rFonts w:ascii="Arial" w:hAnsi="Arial" w:cs="Arial"/>
          <w:sz w:val="18"/>
          <w:szCs w:val="18"/>
          <w:lang w:val="hr-HR" w:eastAsia="hr-HR"/>
        </w:rPr>
        <w:t xml:space="preserve"> kn.</w:t>
      </w:r>
    </w:p>
    <w:p w:rsidR="00713670" w:rsidRPr="006659EC" w:rsidRDefault="00713670" w:rsidP="0049010F">
      <w:pPr>
        <w:ind w:left="708"/>
        <w:jc w:val="both"/>
        <w:rPr>
          <w:rFonts w:ascii="Arial" w:hAnsi="Arial" w:cs="Arial"/>
          <w:sz w:val="18"/>
          <w:szCs w:val="18"/>
          <w:lang w:val="hr-HR" w:eastAsia="hr-HR"/>
        </w:rPr>
      </w:pPr>
    </w:p>
    <w:p w:rsidR="00B84A43" w:rsidRDefault="00B84A43" w:rsidP="00B84A43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hr-HR"/>
        </w:rPr>
      </w:pPr>
      <w:r w:rsidRPr="00F57B05">
        <w:rPr>
          <w:rFonts w:ascii="Arial" w:hAnsi="Arial" w:cs="Arial"/>
          <w:b/>
          <w:sz w:val="18"/>
          <w:szCs w:val="18"/>
          <w:lang w:val="hr-HR" w:eastAsia="hr-HR"/>
        </w:rPr>
        <w:t xml:space="preserve">Prihodi od prodaje proizvoda i robe te pruženih usluga </w:t>
      </w:r>
      <w:r w:rsidRPr="00837792">
        <w:rPr>
          <w:rFonts w:ascii="Arial" w:hAnsi="Arial" w:cs="Arial"/>
          <w:sz w:val="18"/>
          <w:szCs w:val="18"/>
          <w:lang w:val="hr-HR" w:eastAsia="hr-HR"/>
        </w:rPr>
        <w:t>(izvori fin. 31 i 43 - AOP</w:t>
      </w:r>
      <w:r w:rsidRPr="00B84A43">
        <w:rPr>
          <w:rFonts w:ascii="Arial" w:hAnsi="Arial" w:cs="Arial"/>
          <w:sz w:val="18"/>
          <w:szCs w:val="18"/>
          <w:lang w:val="hr-HR" w:eastAsia="hr-HR"/>
        </w:rPr>
        <w:t xml:space="preserve"> 1</w:t>
      </w:r>
      <w:r w:rsidR="00CC6108">
        <w:rPr>
          <w:rFonts w:ascii="Arial" w:hAnsi="Arial" w:cs="Arial"/>
          <w:sz w:val="18"/>
          <w:szCs w:val="18"/>
          <w:lang w:val="hr-HR" w:eastAsia="hr-HR"/>
        </w:rPr>
        <w:t>20</w:t>
      </w:r>
      <w:r w:rsidRPr="00B84A43">
        <w:rPr>
          <w:rFonts w:ascii="Arial" w:hAnsi="Arial" w:cs="Arial"/>
          <w:sz w:val="18"/>
          <w:szCs w:val="18"/>
          <w:lang w:val="hr-HR" w:eastAsia="hr-HR"/>
        </w:rPr>
        <w:t>)</w:t>
      </w:r>
      <w:r w:rsidRPr="00F57B05">
        <w:rPr>
          <w:rFonts w:ascii="Arial" w:hAnsi="Arial" w:cs="Arial"/>
          <w:b/>
          <w:sz w:val="18"/>
          <w:szCs w:val="18"/>
          <w:lang w:val="hr-HR" w:eastAsia="hr-HR"/>
        </w:rPr>
        <w:t xml:space="preserve"> </w:t>
      </w:r>
    </w:p>
    <w:p w:rsidR="008651DC" w:rsidRDefault="008651DC" w:rsidP="00B84A43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hr-HR"/>
        </w:rPr>
      </w:pPr>
    </w:p>
    <w:p w:rsidR="00B84A43" w:rsidRPr="00F57B05" w:rsidRDefault="008651DC" w:rsidP="00B7285F">
      <w:pPr>
        <w:jc w:val="both"/>
        <w:rPr>
          <w:rFonts w:ascii="Arial" w:hAnsi="Arial" w:cs="Arial"/>
          <w:color w:val="000000"/>
          <w:sz w:val="18"/>
          <w:szCs w:val="18"/>
          <w:lang w:val="hr-HR" w:eastAsia="hr-HR"/>
        </w:rPr>
      </w:pPr>
      <w:r w:rsidRPr="008651DC">
        <w:rPr>
          <w:rFonts w:ascii="Arial" w:hAnsi="Arial" w:cs="Arial"/>
          <w:sz w:val="18"/>
          <w:szCs w:val="18"/>
          <w:lang w:val="hr-HR" w:eastAsia="hr-HR"/>
        </w:rPr>
        <w:t xml:space="preserve">Ostvareni </w:t>
      </w:r>
      <w:r>
        <w:rPr>
          <w:rFonts w:ascii="Arial" w:hAnsi="Arial" w:cs="Arial"/>
          <w:sz w:val="18"/>
          <w:szCs w:val="18"/>
          <w:lang w:val="hr-HR" w:eastAsia="hr-HR"/>
        </w:rPr>
        <w:t xml:space="preserve">prihodi od prodaje proizvoda i robe te pruženih usluga u 2021.godini iznose </w:t>
      </w:r>
      <w:r w:rsidR="00837792" w:rsidRPr="00837792">
        <w:rPr>
          <w:rFonts w:ascii="Arial" w:hAnsi="Arial" w:cs="Arial"/>
          <w:sz w:val="18"/>
          <w:szCs w:val="18"/>
          <w:lang w:val="hr-HR" w:eastAsia="hr-HR"/>
        </w:rPr>
        <w:t xml:space="preserve">8.836.203,47 </w:t>
      </w:r>
      <w:r>
        <w:rPr>
          <w:rFonts w:ascii="Arial" w:hAnsi="Arial" w:cs="Arial"/>
          <w:sz w:val="18"/>
          <w:szCs w:val="18"/>
          <w:lang w:val="hr-HR" w:eastAsia="hr-HR"/>
        </w:rPr>
        <w:t xml:space="preserve">kn i obuhvaćaju </w:t>
      </w:r>
      <w:r w:rsidR="00B84A43" w:rsidRPr="00F57B05">
        <w:rPr>
          <w:rFonts w:ascii="Arial" w:hAnsi="Arial" w:cs="Arial"/>
          <w:color w:val="000000"/>
          <w:sz w:val="18"/>
          <w:szCs w:val="18"/>
          <w:lang w:val="hr-HR" w:eastAsia="hr-HR"/>
        </w:rPr>
        <w:t>ostvarene prihode od zakupa imovine, prefakturiranja troškova i temelj</w:t>
      </w:r>
      <w:r>
        <w:rPr>
          <w:rFonts w:ascii="Arial" w:hAnsi="Arial" w:cs="Arial"/>
          <w:color w:val="000000"/>
          <w:sz w:val="18"/>
          <w:szCs w:val="18"/>
          <w:lang w:val="hr-HR" w:eastAsia="hr-HR"/>
        </w:rPr>
        <w:t>em ugovora o poslovnoj suradnji</w:t>
      </w:r>
      <w:r w:rsidR="00B84A43" w:rsidRPr="00F57B05">
        <w:rPr>
          <w:rFonts w:ascii="Arial" w:hAnsi="Arial" w:cs="Arial"/>
          <w:color w:val="000000"/>
          <w:sz w:val="18"/>
          <w:szCs w:val="18"/>
          <w:lang w:val="hr-HR" w:eastAsia="hr-HR"/>
        </w:rPr>
        <w:t>.</w:t>
      </w:r>
    </w:p>
    <w:p w:rsidR="00B84A43" w:rsidRPr="00F57B05" w:rsidRDefault="00B84A43" w:rsidP="0049010F">
      <w:pPr>
        <w:ind w:left="708"/>
        <w:jc w:val="both"/>
        <w:rPr>
          <w:rFonts w:ascii="Arial" w:hAnsi="Arial" w:cs="Arial"/>
          <w:b/>
          <w:color w:val="000000"/>
          <w:sz w:val="18"/>
          <w:szCs w:val="18"/>
          <w:lang w:val="hr-HR" w:eastAsia="hr-HR"/>
        </w:rPr>
      </w:pPr>
    </w:p>
    <w:p w:rsidR="0049010F" w:rsidRPr="00F57B05" w:rsidRDefault="0049010F" w:rsidP="0049010F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hr-HR"/>
        </w:rPr>
      </w:pPr>
    </w:p>
    <w:p w:rsidR="00C84DA9" w:rsidRDefault="001B783B" w:rsidP="0049010F">
      <w:pPr>
        <w:ind w:left="720"/>
        <w:jc w:val="both"/>
        <w:rPr>
          <w:rFonts w:ascii="Arial" w:hAnsi="Arial" w:cs="Arial"/>
          <w:sz w:val="18"/>
          <w:szCs w:val="18"/>
          <w:lang w:val="hr-HR" w:eastAsia="hr-HR"/>
        </w:rPr>
      </w:pPr>
      <w:r>
        <w:rPr>
          <w:rFonts w:ascii="Arial" w:hAnsi="Arial" w:cs="Arial"/>
          <w:b/>
          <w:sz w:val="18"/>
          <w:szCs w:val="18"/>
          <w:lang w:val="hr-HR" w:eastAsia="hr-HR"/>
        </w:rPr>
        <w:t>Prihodi</w:t>
      </w:r>
      <w:r w:rsidR="00C84DA9" w:rsidRPr="00F57B05">
        <w:rPr>
          <w:rFonts w:ascii="Arial" w:hAnsi="Arial" w:cs="Arial"/>
          <w:b/>
          <w:sz w:val="18"/>
          <w:szCs w:val="18"/>
          <w:lang w:val="hr-HR" w:eastAsia="hr-HR"/>
        </w:rPr>
        <w:t xml:space="preserve"> iz nadležnog proračuna i od HZZO-a temeljem ugovornih obveza </w:t>
      </w:r>
      <w:r w:rsidR="00C84DA9" w:rsidRPr="00DA01EF">
        <w:rPr>
          <w:rFonts w:ascii="Arial" w:hAnsi="Arial" w:cs="Arial"/>
          <w:sz w:val="18"/>
          <w:szCs w:val="18"/>
          <w:lang w:val="hr-HR" w:eastAsia="hr-HR"/>
        </w:rPr>
        <w:t>(</w:t>
      </w:r>
      <w:r w:rsidR="009042D0" w:rsidRPr="00DA01EF">
        <w:rPr>
          <w:rFonts w:ascii="Arial" w:hAnsi="Arial" w:cs="Arial"/>
          <w:sz w:val="18"/>
          <w:szCs w:val="18"/>
          <w:lang w:val="hr-HR" w:eastAsia="hr-HR"/>
        </w:rPr>
        <w:t xml:space="preserve">izvori fin. 11,12 i 559 - </w:t>
      </w:r>
      <w:r w:rsidR="00C84DA9" w:rsidRPr="00DA01EF">
        <w:rPr>
          <w:rFonts w:ascii="Arial" w:hAnsi="Arial" w:cs="Arial"/>
          <w:sz w:val="18"/>
          <w:szCs w:val="18"/>
          <w:lang w:val="hr-HR" w:eastAsia="hr-HR"/>
        </w:rPr>
        <w:t xml:space="preserve">AOP </w:t>
      </w:r>
      <w:r w:rsidR="00DA01EF" w:rsidRPr="00DA01EF">
        <w:rPr>
          <w:rFonts w:ascii="Arial" w:hAnsi="Arial" w:cs="Arial"/>
          <w:sz w:val="18"/>
          <w:szCs w:val="18"/>
          <w:lang w:val="hr-HR" w:eastAsia="hr-HR"/>
        </w:rPr>
        <w:t>128</w:t>
      </w:r>
      <w:r w:rsidR="00C84DA9" w:rsidRPr="00DA01EF">
        <w:rPr>
          <w:rFonts w:ascii="Arial" w:hAnsi="Arial" w:cs="Arial"/>
          <w:sz w:val="18"/>
          <w:szCs w:val="18"/>
          <w:lang w:val="hr-HR" w:eastAsia="hr-HR"/>
        </w:rPr>
        <w:t>)</w:t>
      </w:r>
    </w:p>
    <w:p w:rsidR="008A6F29" w:rsidRDefault="008A6F29" w:rsidP="0049010F">
      <w:pPr>
        <w:ind w:left="720"/>
        <w:jc w:val="both"/>
        <w:rPr>
          <w:rFonts w:ascii="Arial" w:hAnsi="Arial" w:cs="Arial"/>
          <w:sz w:val="18"/>
          <w:szCs w:val="18"/>
          <w:lang w:val="hr-HR" w:eastAsia="hr-HR"/>
        </w:rPr>
      </w:pPr>
    </w:p>
    <w:p w:rsidR="008A6F29" w:rsidRDefault="008A6F29" w:rsidP="00B7285F">
      <w:pPr>
        <w:jc w:val="both"/>
        <w:rPr>
          <w:rFonts w:ascii="Arial" w:hAnsi="Arial" w:cs="Arial"/>
          <w:sz w:val="18"/>
          <w:szCs w:val="18"/>
          <w:lang w:val="hr-HR" w:eastAsia="hr-HR"/>
        </w:rPr>
      </w:pPr>
      <w:r w:rsidRPr="008A6F29">
        <w:rPr>
          <w:rFonts w:ascii="Arial" w:hAnsi="Arial" w:cs="Arial"/>
          <w:sz w:val="18"/>
          <w:szCs w:val="18"/>
          <w:lang w:val="hr-HR" w:eastAsia="hr-HR"/>
        </w:rPr>
        <w:t xml:space="preserve">Ostvareni </w:t>
      </w:r>
      <w:r>
        <w:rPr>
          <w:rFonts w:ascii="Arial" w:hAnsi="Arial" w:cs="Arial"/>
          <w:sz w:val="18"/>
          <w:szCs w:val="18"/>
          <w:lang w:val="hr-HR" w:eastAsia="hr-HR"/>
        </w:rPr>
        <w:t>prihodi iz nadležnog proračuna za 2021.godinu ukupno iznose 64.677.457,21 kn i sadrže:</w:t>
      </w:r>
    </w:p>
    <w:p w:rsidR="008A6F29" w:rsidRDefault="008A6F29" w:rsidP="0049010F">
      <w:pPr>
        <w:ind w:left="720"/>
        <w:jc w:val="both"/>
        <w:rPr>
          <w:rFonts w:ascii="Arial" w:hAnsi="Arial" w:cs="Arial"/>
          <w:sz w:val="18"/>
          <w:szCs w:val="18"/>
          <w:lang w:val="hr-HR" w:eastAsia="hr-HR"/>
        </w:rPr>
      </w:pPr>
    </w:p>
    <w:p w:rsidR="008A6F29" w:rsidRDefault="008A6F29" w:rsidP="008A6F2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lang w:val="hr-HR" w:eastAsia="hr-HR"/>
        </w:rPr>
      </w:pPr>
      <w:r>
        <w:rPr>
          <w:rFonts w:ascii="Arial" w:hAnsi="Arial" w:cs="Arial"/>
          <w:sz w:val="18"/>
          <w:szCs w:val="18"/>
          <w:lang w:val="hr-HR" w:eastAsia="hr-HR"/>
        </w:rPr>
        <w:t>Prihode za financiranje izdataka za financijsku imovinu i otplatu zajmova od 32.354.932,59 kn;</w:t>
      </w:r>
    </w:p>
    <w:p w:rsidR="008A6F29" w:rsidRDefault="00907671" w:rsidP="008A6F2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lang w:val="hr-HR" w:eastAsia="hr-HR"/>
        </w:rPr>
      </w:pPr>
      <w:r>
        <w:rPr>
          <w:rFonts w:ascii="Arial" w:hAnsi="Arial" w:cs="Arial"/>
          <w:sz w:val="18"/>
          <w:szCs w:val="18"/>
          <w:lang w:val="hr-HR" w:eastAsia="hr-HR"/>
        </w:rPr>
        <w:t>Prihode</w:t>
      </w:r>
      <w:r w:rsidR="008A6F29">
        <w:rPr>
          <w:rFonts w:ascii="Arial" w:hAnsi="Arial" w:cs="Arial"/>
          <w:sz w:val="18"/>
          <w:szCs w:val="18"/>
          <w:lang w:val="hr-HR" w:eastAsia="hr-HR"/>
        </w:rPr>
        <w:t xml:space="preserve"> za financiranje rashoda za nabavu nefinancijske imovine od 30.667.033,59 kn i</w:t>
      </w:r>
    </w:p>
    <w:p w:rsidR="008A6F29" w:rsidRPr="008A6F29" w:rsidRDefault="00907671" w:rsidP="008A6F2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lang w:val="hr-HR" w:eastAsia="hr-HR"/>
        </w:rPr>
      </w:pPr>
      <w:r>
        <w:rPr>
          <w:rFonts w:ascii="Arial" w:hAnsi="Arial" w:cs="Arial"/>
          <w:sz w:val="18"/>
          <w:szCs w:val="18"/>
          <w:lang w:val="hr-HR" w:eastAsia="hr-HR"/>
        </w:rPr>
        <w:t>Prihode</w:t>
      </w:r>
      <w:r w:rsidR="008A6F29">
        <w:rPr>
          <w:rFonts w:ascii="Arial" w:hAnsi="Arial" w:cs="Arial"/>
          <w:sz w:val="18"/>
          <w:szCs w:val="18"/>
          <w:lang w:val="hr-HR" w:eastAsia="hr-HR"/>
        </w:rPr>
        <w:t xml:space="preserve"> za financiranje rashoda poslovanja od 1.655.491,03 kn.</w:t>
      </w:r>
    </w:p>
    <w:p w:rsidR="009C5942" w:rsidRDefault="009C5942" w:rsidP="0049010F">
      <w:pPr>
        <w:ind w:left="720"/>
        <w:jc w:val="both"/>
        <w:rPr>
          <w:rFonts w:ascii="Arial" w:hAnsi="Arial" w:cs="Arial"/>
          <w:sz w:val="18"/>
          <w:szCs w:val="18"/>
          <w:lang w:val="hr-HR" w:eastAsia="hr-HR"/>
        </w:rPr>
      </w:pPr>
    </w:p>
    <w:p w:rsidR="009C5942" w:rsidRDefault="000E6519" w:rsidP="00B7285F">
      <w:pPr>
        <w:jc w:val="both"/>
        <w:rPr>
          <w:rFonts w:ascii="Arial" w:hAnsi="Arial" w:cs="Arial"/>
          <w:sz w:val="18"/>
          <w:szCs w:val="18"/>
          <w:lang w:val="hr-HR" w:eastAsia="hr-HR"/>
        </w:rPr>
      </w:pPr>
      <w:r>
        <w:rPr>
          <w:rFonts w:ascii="Arial" w:hAnsi="Arial" w:cs="Arial"/>
          <w:sz w:val="18"/>
          <w:szCs w:val="18"/>
          <w:lang w:val="hr-HR" w:eastAsia="hr-HR"/>
        </w:rPr>
        <w:t>Prihodi za financiranje izdataka za financijsku imovinu u iznosu od 32.354.932,59 kn odnose se u cijelosti na otplatu dospjelih rata IBRD zajma br. 7638 HR u 2021.godini.</w:t>
      </w:r>
    </w:p>
    <w:p w:rsidR="000E6519" w:rsidRDefault="000E6519" w:rsidP="0049010F">
      <w:pPr>
        <w:ind w:left="720"/>
        <w:jc w:val="both"/>
        <w:rPr>
          <w:rFonts w:ascii="Arial" w:hAnsi="Arial" w:cs="Arial"/>
          <w:sz w:val="18"/>
          <w:szCs w:val="18"/>
          <w:lang w:val="hr-HR" w:eastAsia="hr-HR"/>
        </w:rPr>
      </w:pPr>
    </w:p>
    <w:p w:rsidR="000E6519" w:rsidRDefault="000E6519" w:rsidP="00B7285F">
      <w:pPr>
        <w:jc w:val="both"/>
        <w:rPr>
          <w:rFonts w:ascii="Arial" w:hAnsi="Arial" w:cs="Arial"/>
          <w:sz w:val="18"/>
          <w:szCs w:val="18"/>
          <w:lang w:val="hr-HR" w:eastAsia="hr-HR"/>
        </w:rPr>
      </w:pPr>
      <w:r>
        <w:rPr>
          <w:rFonts w:ascii="Arial" w:hAnsi="Arial" w:cs="Arial"/>
          <w:sz w:val="18"/>
          <w:szCs w:val="18"/>
          <w:lang w:val="hr-HR" w:eastAsia="hr-HR"/>
        </w:rPr>
        <w:t>Prihodi za financiranje rashoda za nabavu nefinancijske imovine u iznosu od 30.667.033,59 kn uključuju sljedeće rashode za projekte:</w:t>
      </w:r>
    </w:p>
    <w:p w:rsidR="00BC66C2" w:rsidRDefault="00BC66C2" w:rsidP="0049010F">
      <w:pPr>
        <w:ind w:left="720"/>
        <w:jc w:val="both"/>
        <w:rPr>
          <w:rFonts w:ascii="Arial" w:hAnsi="Arial" w:cs="Arial"/>
          <w:sz w:val="18"/>
          <w:szCs w:val="18"/>
          <w:lang w:val="hr-HR" w:eastAsia="hr-HR"/>
        </w:rPr>
      </w:pPr>
    </w:p>
    <w:p w:rsidR="000E6519" w:rsidRDefault="000E6519" w:rsidP="000E651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lang w:val="hr-HR" w:eastAsia="hr-HR"/>
        </w:rPr>
      </w:pPr>
      <w:r>
        <w:rPr>
          <w:rFonts w:ascii="Arial" w:hAnsi="Arial" w:cs="Arial"/>
          <w:sz w:val="18"/>
          <w:szCs w:val="18"/>
          <w:lang w:val="hr-HR" w:eastAsia="hr-HR"/>
        </w:rPr>
        <w:t xml:space="preserve">Rušenje skladišta u luci Rijeka </w:t>
      </w:r>
      <w:r>
        <w:rPr>
          <w:rFonts w:ascii="Arial" w:hAnsi="Arial" w:cs="Arial"/>
          <w:sz w:val="18"/>
          <w:szCs w:val="18"/>
          <w:lang w:val="hr-HR" w:eastAsia="hr-HR"/>
        </w:rPr>
        <w:tab/>
      </w:r>
      <w:r>
        <w:rPr>
          <w:rFonts w:ascii="Arial" w:hAnsi="Arial" w:cs="Arial"/>
          <w:sz w:val="18"/>
          <w:szCs w:val="18"/>
          <w:lang w:val="hr-HR" w:eastAsia="hr-HR"/>
        </w:rPr>
        <w:tab/>
      </w:r>
      <w:r>
        <w:rPr>
          <w:rFonts w:ascii="Arial" w:hAnsi="Arial" w:cs="Arial"/>
          <w:sz w:val="18"/>
          <w:szCs w:val="18"/>
          <w:lang w:val="hr-HR" w:eastAsia="hr-HR"/>
        </w:rPr>
        <w:tab/>
      </w:r>
      <w:r>
        <w:rPr>
          <w:rFonts w:ascii="Arial" w:hAnsi="Arial" w:cs="Arial"/>
          <w:sz w:val="18"/>
          <w:szCs w:val="18"/>
          <w:lang w:val="hr-HR" w:eastAsia="hr-HR"/>
        </w:rPr>
        <w:tab/>
        <w:t>5.000.000,00 kn</w:t>
      </w:r>
    </w:p>
    <w:p w:rsidR="000E6519" w:rsidRPr="000E6519" w:rsidRDefault="000E6519" w:rsidP="000E651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u w:val="single"/>
          <w:lang w:val="hr-HR" w:eastAsia="hr-HR"/>
        </w:rPr>
      </w:pPr>
      <w:r w:rsidRPr="000E6519">
        <w:rPr>
          <w:rFonts w:ascii="Arial" w:hAnsi="Arial" w:cs="Arial"/>
          <w:sz w:val="18"/>
          <w:szCs w:val="18"/>
          <w:u w:val="single"/>
          <w:lang w:val="hr-HR" w:eastAsia="hr-HR"/>
        </w:rPr>
        <w:t>Izgradnja spojne ceste lučkog područja sa cestom D-403</w:t>
      </w:r>
      <w:r w:rsidRPr="000E6519">
        <w:rPr>
          <w:rFonts w:ascii="Arial" w:hAnsi="Arial" w:cs="Arial"/>
          <w:sz w:val="18"/>
          <w:szCs w:val="18"/>
          <w:u w:val="single"/>
          <w:lang w:val="hr-HR" w:eastAsia="hr-HR"/>
        </w:rPr>
        <w:tab/>
        <w:t>4.684.412,95 kn</w:t>
      </w:r>
    </w:p>
    <w:p w:rsidR="000E6519" w:rsidRDefault="000E6519" w:rsidP="000E651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u w:val="single"/>
          <w:lang w:val="hr-HR" w:eastAsia="hr-HR"/>
        </w:rPr>
      </w:pPr>
      <w:r w:rsidRPr="000E6519">
        <w:rPr>
          <w:rFonts w:ascii="Arial" w:hAnsi="Arial" w:cs="Arial"/>
          <w:sz w:val="18"/>
          <w:szCs w:val="18"/>
          <w:u w:val="single"/>
          <w:lang w:val="hr-HR" w:eastAsia="hr-HR"/>
        </w:rPr>
        <w:t>Ukupno izvor financiranja 11</w:t>
      </w:r>
      <w:r w:rsidRPr="000E6519">
        <w:rPr>
          <w:rFonts w:ascii="Arial" w:hAnsi="Arial" w:cs="Arial"/>
          <w:sz w:val="18"/>
          <w:szCs w:val="18"/>
          <w:u w:val="single"/>
          <w:lang w:val="hr-HR" w:eastAsia="hr-HR"/>
        </w:rPr>
        <w:tab/>
      </w:r>
      <w:r w:rsidRPr="000E6519">
        <w:rPr>
          <w:rFonts w:ascii="Arial" w:hAnsi="Arial" w:cs="Arial"/>
          <w:sz w:val="18"/>
          <w:szCs w:val="18"/>
          <w:u w:val="single"/>
          <w:lang w:val="hr-HR" w:eastAsia="hr-HR"/>
        </w:rPr>
        <w:tab/>
      </w:r>
      <w:r w:rsidRPr="000E6519">
        <w:rPr>
          <w:rFonts w:ascii="Arial" w:hAnsi="Arial" w:cs="Arial"/>
          <w:sz w:val="18"/>
          <w:szCs w:val="18"/>
          <w:u w:val="single"/>
          <w:lang w:val="hr-HR" w:eastAsia="hr-HR"/>
        </w:rPr>
        <w:tab/>
      </w:r>
      <w:r w:rsidRPr="000E6519">
        <w:rPr>
          <w:rFonts w:ascii="Arial" w:hAnsi="Arial" w:cs="Arial"/>
          <w:sz w:val="18"/>
          <w:szCs w:val="18"/>
          <w:u w:val="single"/>
          <w:lang w:val="hr-HR" w:eastAsia="hr-HR"/>
        </w:rPr>
        <w:tab/>
        <w:t>9.684.412,95 kn</w:t>
      </w:r>
    </w:p>
    <w:p w:rsidR="00585698" w:rsidRDefault="00585698" w:rsidP="00585698">
      <w:pPr>
        <w:jc w:val="both"/>
        <w:rPr>
          <w:rFonts w:ascii="Arial" w:hAnsi="Arial" w:cs="Arial"/>
          <w:sz w:val="18"/>
          <w:szCs w:val="18"/>
          <w:u w:val="single"/>
          <w:lang w:val="hr-HR" w:eastAsia="hr-HR"/>
        </w:rPr>
      </w:pPr>
    </w:p>
    <w:p w:rsidR="00585698" w:rsidRPr="00585698" w:rsidRDefault="00585698" w:rsidP="00585698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  <w:u w:val="single"/>
          <w:lang w:eastAsia="hr-HR"/>
        </w:rPr>
      </w:pPr>
      <w:r w:rsidRPr="00585698">
        <w:rPr>
          <w:rFonts w:ascii="Arial" w:hAnsi="Arial" w:cs="Arial"/>
          <w:sz w:val="18"/>
          <w:szCs w:val="18"/>
          <w:u w:val="single"/>
          <w:lang w:val="hr-HR" w:eastAsia="hr-HR"/>
        </w:rPr>
        <w:t>CEF – Unapr. infrastr</w:t>
      </w:r>
      <w:r w:rsidR="00937839">
        <w:rPr>
          <w:rFonts w:ascii="Arial" w:hAnsi="Arial" w:cs="Arial"/>
          <w:sz w:val="18"/>
          <w:szCs w:val="18"/>
          <w:u w:val="single"/>
          <w:lang w:val="hr-HR" w:eastAsia="hr-HR"/>
        </w:rPr>
        <w:t>. Luke Rijeka – Inform. sustav l</w:t>
      </w:r>
      <w:r w:rsidRPr="00585698">
        <w:rPr>
          <w:rFonts w:ascii="Arial" w:hAnsi="Arial" w:cs="Arial"/>
          <w:sz w:val="18"/>
          <w:szCs w:val="18"/>
          <w:u w:val="single"/>
          <w:lang w:val="hr-HR" w:eastAsia="hr-HR"/>
        </w:rPr>
        <w:t xml:space="preserve">učke zajednice – PCS  </w:t>
      </w:r>
      <w:r w:rsidRPr="00585698">
        <w:rPr>
          <w:rFonts w:ascii="Arial" w:hAnsi="Arial" w:cs="Arial"/>
          <w:sz w:val="18"/>
          <w:szCs w:val="18"/>
          <w:u w:val="single"/>
          <w:lang w:eastAsia="hr-HR"/>
        </w:rPr>
        <w:t xml:space="preserve">  612,702.96 kn</w:t>
      </w:r>
    </w:p>
    <w:p w:rsidR="00585698" w:rsidRPr="00585698" w:rsidRDefault="00585698" w:rsidP="0058569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u w:val="single"/>
          <w:lang w:val="hr-HR" w:eastAsia="hr-HR"/>
        </w:rPr>
      </w:pPr>
      <w:r w:rsidRPr="00585698">
        <w:rPr>
          <w:rFonts w:ascii="Arial" w:hAnsi="Arial" w:cs="Arial"/>
          <w:sz w:val="18"/>
          <w:szCs w:val="18"/>
          <w:u w:val="single"/>
          <w:lang w:val="hr-HR" w:eastAsia="hr-HR"/>
        </w:rPr>
        <w:t>Ukupno izvor financiranja 12</w:t>
      </w:r>
      <w:r w:rsidRPr="00585698">
        <w:rPr>
          <w:rFonts w:ascii="Arial" w:hAnsi="Arial" w:cs="Arial"/>
          <w:sz w:val="18"/>
          <w:szCs w:val="18"/>
          <w:u w:val="single"/>
          <w:lang w:val="hr-HR" w:eastAsia="hr-HR"/>
        </w:rPr>
        <w:tab/>
      </w:r>
      <w:r w:rsidRPr="00585698">
        <w:rPr>
          <w:rFonts w:ascii="Arial" w:hAnsi="Arial" w:cs="Arial"/>
          <w:sz w:val="18"/>
          <w:szCs w:val="18"/>
          <w:u w:val="single"/>
          <w:lang w:val="hr-HR" w:eastAsia="hr-HR"/>
        </w:rPr>
        <w:tab/>
      </w:r>
      <w:r w:rsidRPr="00585698">
        <w:rPr>
          <w:rFonts w:ascii="Arial" w:hAnsi="Arial" w:cs="Arial"/>
          <w:sz w:val="18"/>
          <w:szCs w:val="18"/>
          <w:u w:val="single"/>
          <w:lang w:val="hr-HR" w:eastAsia="hr-HR"/>
        </w:rPr>
        <w:tab/>
      </w:r>
      <w:r w:rsidRPr="00585698">
        <w:rPr>
          <w:rFonts w:ascii="Arial" w:hAnsi="Arial" w:cs="Arial"/>
          <w:sz w:val="18"/>
          <w:szCs w:val="18"/>
          <w:u w:val="single"/>
          <w:lang w:val="hr-HR" w:eastAsia="hr-HR"/>
        </w:rPr>
        <w:tab/>
      </w:r>
      <w:r w:rsidRPr="00585698">
        <w:rPr>
          <w:rFonts w:ascii="Arial" w:hAnsi="Arial" w:cs="Arial"/>
          <w:sz w:val="18"/>
          <w:szCs w:val="18"/>
          <w:u w:val="single"/>
          <w:lang w:val="hr-HR" w:eastAsia="hr-HR"/>
        </w:rPr>
        <w:tab/>
        <w:t xml:space="preserve">        612.702,96 kn</w:t>
      </w:r>
    </w:p>
    <w:p w:rsidR="000E6519" w:rsidRPr="00585698" w:rsidRDefault="000E6519" w:rsidP="000E6519">
      <w:pPr>
        <w:jc w:val="both"/>
        <w:rPr>
          <w:rFonts w:ascii="Arial" w:hAnsi="Arial" w:cs="Arial"/>
          <w:sz w:val="18"/>
          <w:szCs w:val="18"/>
          <w:lang w:val="hr-HR" w:eastAsia="hr-HR"/>
        </w:rPr>
      </w:pPr>
    </w:p>
    <w:p w:rsidR="000E6519" w:rsidRPr="00D4678F" w:rsidRDefault="000E6519" w:rsidP="00F0695B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  <w:lang w:val="hr-HR" w:eastAsia="hr-HR"/>
        </w:rPr>
      </w:pPr>
      <w:r w:rsidRPr="00D4678F">
        <w:rPr>
          <w:rFonts w:ascii="Arial" w:hAnsi="Arial" w:cs="Arial"/>
          <w:sz w:val="18"/>
          <w:szCs w:val="18"/>
          <w:lang w:val="hr-HR" w:eastAsia="hr-HR"/>
        </w:rPr>
        <w:t xml:space="preserve">CEF – Unapr. infrastr. </w:t>
      </w:r>
      <w:r w:rsidR="00CB4AAD">
        <w:rPr>
          <w:rFonts w:ascii="Arial" w:hAnsi="Arial" w:cs="Arial"/>
          <w:sz w:val="18"/>
          <w:szCs w:val="18"/>
          <w:lang w:val="hr-HR" w:eastAsia="hr-HR"/>
        </w:rPr>
        <w:t>l</w:t>
      </w:r>
      <w:r w:rsidRPr="00D4678F">
        <w:rPr>
          <w:rFonts w:ascii="Arial" w:hAnsi="Arial" w:cs="Arial"/>
          <w:sz w:val="18"/>
          <w:szCs w:val="18"/>
          <w:lang w:val="hr-HR" w:eastAsia="hr-HR"/>
        </w:rPr>
        <w:t xml:space="preserve">uke Rijeka – </w:t>
      </w:r>
      <w:r w:rsidR="00CB4AAD">
        <w:rPr>
          <w:rFonts w:ascii="Arial" w:hAnsi="Arial" w:cs="Arial"/>
          <w:sz w:val="18"/>
          <w:szCs w:val="18"/>
          <w:lang w:val="hr-HR" w:eastAsia="hr-HR"/>
        </w:rPr>
        <w:t>i</w:t>
      </w:r>
      <w:r w:rsidRPr="00D4678F">
        <w:rPr>
          <w:rFonts w:ascii="Arial" w:hAnsi="Arial" w:cs="Arial"/>
          <w:sz w:val="18"/>
          <w:szCs w:val="18"/>
          <w:lang w:val="hr-HR" w:eastAsia="hr-HR"/>
        </w:rPr>
        <w:t>nform.</w:t>
      </w:r>
      <w:r w:rsidR="00D4678F" w:rsidRPr="00D4678F">
        <w:rPr>
          <w:rFonts w:ascii="Arial" w:hAnsi="Arial" w:cs="Arial"/>
          <w:sz w:val="18"/>
          <w:szCs w:val="18"/>
          <w:lang w:val="hr-HR" w:eastAsia="hr-HR"/>
        </w:rPr>
        <w:t xml:space="preserve"> sustav </w:t>
      </w:r>
      <w:r w:rsidR="00937839">
        <w:rPr>
          <w:rFonts w:ascii="Arial" w:hAnsi="Arial" w:cs="Arial"/>
          <w:sz w:val="18"/>
          <w:szCs w:val="18"/>
          <w:lang w:val="hr-HR" w:eastAsia="hr-HR"/>
        </w:rPr>
        <w:t>l</w:t>
      </w:r>
      <w:r w:rsidR="00D4678F" w:rsidRPr="00D4678F">
        <w:rPr>
          <w:rFonts w:ascii="Arial" w:hAnsi="Arial" w:cs="Arial"/>
          <w:sz w:val="18"/>
          <w:szCs w:val="18"/>
          <w:lang w:val="hr-HR" w:eastAsia="hr-HR"/>
        </w:rPr>
        <w:t>učke zajednice – PCS</w:t>
      </w:r>
      <w:r w:rsidR="00D4678F">
        <w:rPr>
          <w:rFonts w:ascii="Arial" w:hAnsi="Arial" w:cs="Arial"/>
          <w:sz w:val="18"/>
          <w:szCs w:val="18"/>
          <w:lang w:val="hr-HR" w:eastAsia="hr-HR"/>
        </w:rPr>
        <w:t xml:space="preserve">: </w:t>
      </w:r>
      <w:r w:rsidR="00D4678F" w:rsidRPr="00D4678F">
        <w:rPr>
          <w:rFonts w:ascii="Arial" w:hAnsi="Arial" w:cs="Arial"/>
          <w:sz w:val="18"/>
          <w:szCs w:val="18"/>
          <w:lang w:eastAsia="hr-HR"/>
        </w:rPr>
        <w:t>2,067,506.94</w:t>
      </w:r>
      <w:r w:rsidR="00D4678F">
        <w:rPr>
          <w:rFonts w:ascii="Arial" w:hAnsi="Arial" w:cs="Arial"/>
          <w:sz w:val="18"/>
          <w:szCs w:val="18"/>
          <w:lang w:eastAsia="hr-HR"/>
        </w:rPr>
        <w:t xml:space="preserve"> kn</w:t>
      </w:r>
      <w:r w:rsidR="00D4678F" w:rsidRPr="00D4678F">
        <w:rPr>
          <w:rFonts w:ascii="Arial" w:hAnsi="Arial" w:cs="Arial"/>
          <w:sz w:val="18"/>
          <w:szCs w:val="18"/>
          <w:lang w:eastAsia="hr-HR"/>
        </w:rPr>
        <w:t xml:space="preserve"> </w:t>
      </w:r>
    </w:p>
    <w:p w:rsidR="000E6519" w:rsidRPr="00D4678F" w:rsidRDefault="000E6519" w:rsidP="00FC3961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  <w:lang w:val="hr-HR" w:eastAsia="hr-HR"/>
        </w:rPr>
      </w:pPr>
      <w:r w:rsidRPr="00D4678F">
        <w:rPr>
          <w:rFonts w:ascii="Arial" w:hAnsi="Arial" w:cs="Arial"/>
          <w:sz w:val="18"/>
          <w:szCs w:val="18"/>
          <w:lang w:val="hr-HR" w:eastAsia="hr-HR"/>
        </w:rPr>
        <w:t xml:space="preserve">CEF – </w:t>
      </w:r>
      <w:r w:rsidR="00937839">
        <w:rPr>
          <w:rFonts w:ascii="Arial" w:hAnsi="Arial" w:cs="Arial"/>
          <w:sz w:val="18"/>
          <w:szCs w:val="18"/>
          <w:lang w:val="hr-HR" w:eastAsia="hr-HR"/>
        </w:rPr>
        <w:t xml:space="preserve">Unapr. </w:t>
      </w:r>
      <w:r w:rsidR="00CB4AAD">
        <w:rPr>
          <w:rFonts w:ascii="Arial" w:hAnsi="Arial" w:cs="Arial"/>
          <w:sz w:val="18"/>
          <w:szCs w:val="18"/>
          <w:lang w:val="hr-HR" w:eastAsia="hr-HR"/>
        </w:rPr>
        <w:t>i</w:t>
      </w:r>
      <w:r w:rsidR="00937839">
        <w:rPr>
          <w:rFonts w:ascii="Arial" w:hAnsi="Arial" w:cs="Arial"/>
          <w:sz w:val="18"/>
          <w:szCs w:val="18"/>
          <w:lang w:val="hr-HR" w:eastAsia="hr-HR"/>
        </w:rPr>
        <w:t>nfrastr.</w:t>
      </w:r>
      <w:r w:rsidR="00CB4AAD">
        <w:rPr>
          <w:rFonts w:ascii="Arial" w:hAnsi="Arial" w:cs="Arial"/>
          <w:sz w:val="18"/>
          <w:szCs w:val="18"/>
          <w:lang w:val="hr-HR" w:eastAsia="hr-HR"/>
        </w:rPr>
        <w:t xml:space="preserve"> luke Rijeka - p</w:t>
      </w:r>
      <w:r w:rsidRPr="00D4678F">
        <w:rPr>
          <w:rFonts w:ascii="Arial" w:hAnsi="Arial" w:cs="Arial"/>
          <w:sz w:val="18"/>
          <w:szCs w:val="18"/>
          <w:lang w:val="hr-HR" w:eastAsia="hr-HR"/>
        </w:rPr>
        <w:t xml:space="preserve">rodubljenje južnog veza </w:t>
      </w:r>
      <w:r w:rsidR="00CB4AAD">
        <w:rPr>
          <w:rFonts w:ascii="Arial" w:hAnsi="Arial" w:cs="Arial"/>
          <w:sz w:val="18"/>
          <w:szCs w:val="18"/>
          <w:lang w:val="hr-HR" w:eastAsia="hr-HR"/>
        </w:rPr>
        <w:t>AGCT</w:t>
      </w:r>
      <w:r w:rsidR="00D4678F" w:rsidRPr="00D4678F">
        <w:rPr>
          <w:rFonts w:ascii="Arial" w:hAnsi="Arial" w:cs="Arial"/>
          <w:sz w:val="18"/>
          <w:szCs w:val="18"/>
          <w:lang w:val="hr-HR" w:eastAsia="hr-HR"/>
        </w:rPr>
        <w:t xml:space="preserve">: </w:t>
      </w:r>
      <w:r w:rsidR="00CB4AAD">
        <w:rPr>
          <w:rFonts w:ascii="Arial" w:hAnsi="Arial" w:cs="Arial"/>
          <w:sz w:val="18"/>
          <w:szCs w:val="18"/>
          <w:lang w:val="hr-HR" w:eastAsia="hr-HR"/>
        </w:rPr>
        <w:t xml:space="preserve">       </w:t>
      </w:r>
      <w:r w:rsidR="00D4678F" w:rsidRPr="00D4678F">
        <w:rPr>
          <w:rFonts w:ascii="Arial" w:hAnsi="Arial" w:cs="Arial"/>
          <w:sz w:val="18"/>
          <w:szCs w:val="18"/>
          <w:lang w:val="hr-HR" w:eastAsia="hr-HR"/>
        </w:rPr>
        <w:t xml:space="preserve"> </w:t>
      </w:r>
      <w:r w:rsidR="00D4678F" w:rsidRPr="00D4678F">
        <w:rPr>
          <w:rFonts w:ascii="Arial" w:hAnsi="Arial" w:cs="Arial"/>
          <w:sz w:val="18"/>
          <w:szCs w:val="18"/>
          <w:lang w:eastAsia="hr-HR"/>
        </w:rPr>
        <w:t xml:space="preserve"> 1,592,087.67 kn</w:t>
      </w:r>
    </w:p>
    <w:p w:rsidR="00A805D6" w:rsidRPr="00A805D6" w:rsidRDefault="000E6519" w:rsidP="009B5D91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  <w:lang w:eastAsia="hr-HR"/>
        </w:rPr>
      </w:pPr>
      <w:r w:rsidRPr="000E6519">
        <w:rPr>
          <w:rFonts w:ascii="Arial" w:hAnsi="Arial" w:cs="Arial"/>
          <w:sz w:val="18"/>
          <w:szCs w:val="18"/>
          <w:lang w:val="hr-HR" w:eastAsia="hr-HR"/>
        </w:rPr>
        <w:t xml:space="preserve">CEF – </w:t>
      </w:r>
      <w:r w:rsidR="00CB4AAD">
        <w:rPr>
          <w:rFonts w:ascii="Arial" w:hAnsi="Arial" w:cs="Arial"/>
          <w:sz w:val="18"/>
          <w:szCs w:val="18"/>
          <w:lang w:val="hr-HR" w:eastAsia="hr-HR"/>
        </w:rPr>
        <w:t>Unapr. infrastr. luke Rijeka – Zagreb Deep Sea k</w:t>
      </w:r>
      <w:r w:rsidRPr="000E6519">
        <w:rPr>
          <w:rFonts w:ascii="Arial" w:hAnsi="Arial" w:cs="Arial"/>
          <w:sz w:val="18"/>
          <w:szCs w:val="18"/>
          <w:lang w:val="hr-HR" w:eastAsia="hr-HR"/>
        </w:rPr>
        <w:t>ontejnerski terminal</w:t>
      </w:r>
      <w:r w:rsidR="009B5D91">
        <w:rPr>
          <w:rFonts w:ascii="Arial" w:hAnsi="Arial" w:cs="Arial"/>
          <w:sz w:val="18"/>
          <w:szCs w:val="18"/>
          <w:lang w:val="hr-HR" w:eastAsia="hr-HR"/>
        </w:rPr>
        <w:t xml:space="preserve">  11,730,295.46 kn</w:t>
      </w:r>
      <w:r w:rsidR="00A805D6">
        <w:rPr>
          <w:rFonts w:ascii="Arial" w:hAnsi="Arial" w:cs="Arial"/>
          <w:sz w:val="18"/>
          <w:szCs w:val="18"/>
          <w:lang w:val="hr-HR" w:eastAsia="hr-HR"/>
        </w:rPr>
        <w:t xml:space="preserve">                          </w:t>
      </w:r>
      <w:r w:rsidR="009B5D91">
        <w:rPr>
          <w:rFonts w:ascii="Arial" w:hAnsi="Arial" w:cs="Arial"/>
          <w:sz w:val="18"/>
          <w:szCs w:val="18"/>
          <w:lang w:val="hr-HR" w:eastAsia="hr-HR"/>
        </w:rPr>
        <w:t xml:space="preserve">   </w:t>
      </w:r>
    </w:p>
    <w:p w:rsidR="00A805D6" w:rsidRPr="009B5D91" w:rsidRDefault="00A805D6" w:rsidP="009B5D91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  <w:lang w:eastAsia="hr-HR"/>
        </w:rPr>
      </w:pPr>
      <w:r w:rsidRPr="009B5D91">
        <w:rPr>
          <w:rFonts w:ascii="Arial" w:hAnsi="Arial" w:cs="Arial"/>
          <w:sz w:val="18"/>
          <w:szCs w:val="18"/>
          <w:lang w:val="hr-HR" w:eastAsia="hr-HR"/>
        </w:rPr>
        <w:t xml:space="preserve">CEF – </w:t>
      </w:r>
      <w:r w:rsidR="0069072E" w:rsidRPr="009B5D91">
        <w:rPr>
          <w:rFonts w:ascii="Arial" w:hAnsi="Arial" w:cs="Arial"/>
          <w:sz w:val="18"/>
          <w:szCs w:val="18"/>
          <w:lang w:val="hr-HR" w:eastAsia="hr-HR"/>
        </w:rPr>
        <w:t>R</w:t>
      </w:r>
      <w:r w:rsidR="00CB4AAD" w:rsidRPr="009B5D91">
        <w:rPr>
          <w:rFonts w:ascii="Arial" w:hAnsi="Arial" w:cs="Arial"/>
          <w:sz w:val="18"/>
          <w:szCs w:val="18"/>
          <w:lang w:val="hr-HR" w:eastAsia="hr-HR"/>
        </w:rPr>
        <w:t>azvoj m</w:t>
      </w:r>
      <w:r w:rsidR="009B5D91">
        <w:rPr>
          <w:rFonts w:ascii="Arial" w:hAnsi="Arial" w:cs="Arial"/>
          <w:sz w:val="18"/>
          <w:szCs w:val="18"/>
          <w:lang w:val="hr-HR" w:eastAsia="hr-HR"/>
        </w:rPr>
        <w:t>ultim.</w:t>
      </w:r>
      <w:r w:rsidRPr="009B5D91">
        <w:rPr>
          <w:rFonts w:ascii="Arial" w:hAnsi="Arial" w:cs="Arial"/>
          <w:sz w:val="18"/>
          <w:szCs w:val="18"/>
          <w:lang w:val="hr-HR" w:eastAsia="hr-HR"/>
        </w:rPr>
        <w:t xml:space="preserve"> platform</w:t>
      </w:r>
      <w:r w:rsidR="00CB4AAD" w:rsidRPr="009B5D91">
        <w:rPr>
          <w:rFonts w:ascii="Arial" w:hAnsi="Arial" w:cs="Arial"/>
          <w:sz w:val="18"/>
          <w:szCs w:val="18"/>
          <w:lang w:val="hr-HR" w:eastAsia="hr-HR"/>
        </w:rPr>
        <w:t>e</w:t>
      </w:r>
      <w:r w:rsidRPr="009B5D91">
        <w:rPr>
          <w:rFonts w:ascii="Arial" w:hAnsi="Arial" w:cs="Arial"/>
          <w:sz w:val="18"/>
          <w:szCs w:val="18"/>
          <w:lang w:val="hr-HR" w:eastAsia="hr-HR"/>
        </w:rPr>
        <w:t xml:space="preserve"> i</w:t>
      </w:r>
      <w:r w:rsidR="00CB4AAD" w:rsidRPr="009B5D91">
        <w:rPr>
          <w:rFonts w:ascii="Arial" w:hAnsi="Arial" w:cs="Arial"/>
          <w:sz w:val="18"/>
          <w:szCs w:val="18"/>
          <w:lang w:val="hr-HR" w:eastAsia="hr-HR"/>
        </w:rPr>
        <w:t xml:space="preserve"> povezivanje s kont.term. Jadranska vrata</w:t>
      </w:r>
      <w:r w:rsidR="009B5D91">
        <w:rPr>
          <w:rFonts w:ascii="Arial" w:hAnsi="Arial" w:cs="Arial"/>
          <w:sz w:val="18"/>
          <w:szCs w:val="18"/>
          <w:lang w:eastAsia="hr-HR"/>
        </w:rPr>
        <w:t xml:space="preserve">   2,760,753.63 kn</w:t>
      </w:r>
      <w:r w:rsidRPr="009B5D91">
        <w:rPr>
          <w:rFonts w:ascii="Arial" w:hAnsi="Arial" w:cs="Arial"/>
          <w:sz w:val="18"/>
          <w:szCs w:val="18"/>
          <w:lang w:eastAsia="hr-HR"/>
        </w:rPr>
        <w:t xml:space="preserve">  </w:t>
      </w:r>
    </w:p>
    <w:p w:rsidR="00A805D6" w:rsidRPr="009B5D91" w:rsidRDefault="00A805D6" w:rsidP="009B5D91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  <w:lang w:eastAsia="hr-HR"/>
        </w:rPr>
      </w:pPr>
      <w:r w:rsidRPr="00A805D6">
        <w:rPr>
          <w:rFonts w:ascii="Arial" w:hAnsi="Arial" w:cs="Arial"/>
          <w:sz w:val="18"/>
          <w:szCs w:val="18"/>
          <w:lang w:val="hr-HR" w:eastAsia="hr-HR"/>
        </w:rPr>
        <w:t>CEF</w:t>
      </w:r>
      <w:r>
        <w:rPr>
          <w:rFonts w:ascii="Arial" w:hAnsi="Arial" w:cs="Arial"/>
          <w:sz w:val="18"/>
          <w:szCs w:val="18"/>
          <w:lang w:val="hr-HR" w:eastAsia="hr-HR"/>
        </w:rPr>
        <w:t xml:space="preserve"> – </w:t>
      </w:r>
      <w:r w:rsidR="00CB4AAD">
        <w:rPr>
          <w:rFonts w:ascii="Arial" w:hAnsi="Arial" w:cs="Arial"/>
          <w:sz w:val="18"/>
          <w:szCs w:val="18"/>
          <w:lang w:val="hr-HR" w:eastAsia="hr-HR"/>
        </w:rPr>
        <w:t>Unapr. infrastr. luke Rijeka - t</w:t>
      </w:r>
      <w:r>
        <w:rPr>
          <w:rFonts w:ascii="Arial" w:hAnsi="Arial" w:cs="Arial"/>
          <w:sz w:val="18"/>
          <w:szCs w:val="18"/>
          <w:lang w:val="hr-HR" w:eastAsia="hr-HR"/>
        </w:rPr>
        <w:t>erminal za generalne terete</w:t>
      </w:r>
      <w:r w:rsidR="00CB4AAD">
        <w:rPr>
          <w:rFonts w:ascii="Arial" w:hAnsi="Arial" w:cs="Arial"/>
          <w:sz w:val="18"/>
          <w:szCs w:val="18"/>
          <w:lang w:val="hr-HR" w:eastAsia="hr-HR"/>
        </w:rPr>
        <w:t xml:space="preserve"> – bazen </w:t>
      </w:r>
      <w:r>
        <w:rPr>
          <w:rFonts w:ascii="Arial" w:hAnsi="Arial" w:cs="Arial"/>
          <w:sz w:val="18"/>
          <w:szCs w:val="18"/>
          <w:lang w:val="hr-HR" w:eastAsia="hr-HR"/>
        </w:rPr>
        <w:t xml:space="preserve"> Raša (GCT)</w:t>
      </w:r>
      <w:r>
        <w:rPr>
          <w:rFonts w:ascii="Arial" w:hAnsi="Arial" w:cs="Arial"/>
          <w:sz w:val="18"/>
          <w:szCs w:val="18"/>
          <w:lang w:val="hr-HR" w:eastAsia="hr-HR"/>
        </w:rPr>
        <w:tab/>
      </w:r>
      <w:r>
        <w:rPr>
          <w:rFonts w:ascii="Arial" w:hAnsi="Arial" w:cs="Arial"/>
          <w:sz w:val="18"/>
          <w:szCs w:val="18"/>
          <w:lang w:val="hr-HR" w:eastAsia="hr-HR"/>
        </w:rPr>
        <w:tab/>
      </w:r>
      <w:r w:rsidRPr="00A805D6">
        <w:rPr>
          <w:rFonts w:ascii="Arial" w:hAnsi="Arial" w:cs="Arial"/>
          <w:sz w:val="18"/>
          <w:szCs w:val="18"/>
          <w:lang w:eastAsia="hr-HR"/>
        </w:rPr>
        <w:t xml:space="preserve">     </w:t>
      </w:r>
      <w:r>
        <w:rPr>
          <w:rFonts w:ascii="Arial" w:hAnsi="Arial" w:cs="Arial"/>
          <w:sz w:val="18"/>
          <w:szCs w:val="18"/>
          <w:lang w:eastAsia="hr-HR"/>
        </w:rPr>
        <w:tab/>
        <w:t xml:space="preserve">     </w:t>
      </w:r>
      <w:r w:rsidR="009B5D91">
        <w:rPr>
          <w:rFonts w:ascii="Arial" w:hAnsi="Arial" w:cs="Arial"/>
          <w:sz w:val="18"/>
          <w:szCs w:val="18"/>
          <w:lang w:eastAsia="hr-HR"/>
        </w:rPr>
        <w:tab/>
      </w:r>
      <w:r w:rsidR="009B5D91">
        <w:rPr>
          <w:rFonts w:ascii="Arial" w:hAnsi="Arial" w:cs="Arial"/>
          <w:sz w:val="18"/>
          <w:szCs w:val="18"/>
          <w:lang w:eastAsia="hr-HR"/>
        </w:rPr>
        <w:tab/>
      </w:r>
      <w:r w:rsidR="009B5D91">
        <w:rPr>
          <w:rFonts w:ascii="Arial" w:hAnsi="Arial" w:cs="Arial"/>
          <w:sz w:val="18"/>
          <w:szCs w:val="18"/>
          <w:lang w:eastAsia="hr-HR"/>
        </w:rPr>
        <w:tab/>
      </w:r>
      <w:r w:rsidR="009B5D91">
        <w:rPr>
          <w:rFonts w:ascii="Arial" w:hAnsi="Arial" w:cs="Arial"/>
          <w:sz w:val="18"/>
          <w:szCs w:val="18"/>
          <w:lang w:eastAsia="hr-HR"/>
        </w:rPr>
        <w:tab/>
      </w:r>
      <w:r w:rsidR="009B5D91">
        <w:rPr>
          <w:rFonts w:ascii="Arial" w:hAnsi="Arial" w:cs="Arial"/>
          <w:sz w:val="18"/>
          <w:szCs w:val="18"/>
          <w:lang w:eastAsia="hr-HR"/>
        </w:rPr>
        <w:tab/>
      </w:r>
      <w:r w:rsidR="009B5D91">
        <w:rPr>
          <w:rFonts w:ascii="Arial" w:hAnsi="Arial" w:cs="Arial"/>
          <w:sz w:val="18"/>
          <w:szCs w:val="18"/>
          <w:lang w:eastAsia="hr-HR"/>
        </w:rPr>
        <w:tab/>
      </w:r>
      <w:r w:rsidR="009B5D91">
        <w:rPr>
          <w:rFonts w:ascii="Arial" w:hAnsi="Arial" w:cs="Arial"/>
          <w:sz w:val="18"/>
          <w:szCs w:val="18"/>
          <w:lang w:eastAsia="hr-HR"/>
        </w:rPr>
        <w:tab/>
        <w:t xml:space="preserve">       </w:t>
      </w:r>
      <w:r>
        <w:rPr>
          <w:rFonts w:ascii="Arial" w:hAnsi="Arial" w:cs="Arial"/>
          <w:sz w:val="18"/>
          <w:szCs w:val="18"/>
          <w:lang w:eastAsia="hr-HR"/>
        </w:rPr>
        <w:t xml:space="preserve"> </w:t>
      </w:r>
      <w:r w:rsidRPr="00A805D6">
        <w:rPr>
          <w:rFonts w:ascii="Arial" w:hAnsi="Arial" w:cs="Arial"/>
          <w:sz w:val="18"/>
          <w:szCs w:val="18"/>
          <w:lang w:eastAsia="hr-HR"/>
        </w:rPr>
        <w:t xml:space="preserve">2,148,086.48 </w:t>
      </w:r>
      <w:r>
        <w:rPr>
          <w:rFonts w:ascii="Arial" w:hAnsi="Arial" w:cs="Arial"/>
          <w:sz w:val="18"/>
          <w:szCs w:val="18"/>
          <w:lang w:eastAsia="hr-HR"/>
        </w:rPr>
        <w:t xml:space="preserve">kn </w:t>
      </w:r>
    </w:p>
    <w:p w:rsidR="00A805D6" w:rsidRDefault="00A805D6" w:rsidP="00A805D6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  <w:u w:val="single"/>
          <w:lang w:eastAsia="hr-HR"/>
        </w:rPr>
      </w:pPr>
      <w:r w:rsidRPr="00585698">
        <w:rPr>
          <w:rFonts w:ascii="Arial" w:hAnsi="Arial" w:cs="Arial"/>
          <w:sz w:val="18"/>
          <w:szCs w:val="18"/>
          <w:u w:val="single"/>
          <w:lang w:val="hr-HR" w:eastAsia="hr-HR"/>
        </w:rPr>
        <w:t>INTERREG CBC ITALIJA-HRVATSKA 2014-2020 PROJEKT PROMARES</w:t>
      </w:r>
      <w:r w:rsidRPr="00585698">
        <w:rPr>
          <w:rFonts w:ascii="Arial" w:hAnsi="Arial" w:cs="Arial"/>
          <w:sz w:val="18"/>
          <w:szCs w:val="18"/>
          <w:u w:val="single"/>
          <w:lang w:eastAsia="hr-HR"/>
        </w:rPr>
        <w:t xml:space="preserve">        71,187.50 kn</w:t>
      </w:r>
    </w:p>
    <w:p w:rsidR="00585698" w:rsidRPr="00585698" w:rsidRDefault="00585698" w:rsidP="00A805D6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  <w:u w:val="single"/>
          <w:lang w:eastAsia="hr-HR"/>
        </w:rPr>
      </w:pPr>
      <w:r>
        <w:rPr>
          <w:rFonts w:ascii="Arial" w:hAnsi="Arial" w:cs="Arial"/>
          <w:sz w:val="18"/>
          <w:szCs w:val="18"/>
          <w:u w:val="single"/>
          <w:lang w:eastAsia="hr-HR"/>
        </w:rPr>
        <w:t>Ukupno izvor financiranja 559</w:t>
      </w:r>
      <w:r>
        <w:rPr>
          <w:rFonts w:ascii="Arial" w:hAnsi="Arial" w:cs="Arial"/>
          <w:sz w:val="18"/>
          <w:szCs w:val="18"/>
          <w:u w:val="single"/>
          <w:lang w:eastAsia="hr-HR"/>
        </w:rPr>
        <w:tab/>
      </w:r>
      <w:r>
        <w:rPr>
          <w:rFonts w:ascii="Arial" w:hAnsi="Arial" w:cs="Arial"/>
          <w:sz w:val="18"/>
          <w:szCs w:val="18"/>
          <w:u w:val="single"/>
          <w:lang w:eastAsia="hr-HR"/>
        </w:rPr>
        <w:tab/>
      </w:r>
      <w:r>
        <w:rPr>
          <w:rFonts w:ascii="Arial" w:hAnsi="Arial" w:cs="Arial"/>
          <w:sz w:val="18"/>
          <w:szCs w:val="18"/>
          <w:u w:val="single"/>
          <w:lang w:eastAsia="hr-HR"/>
        </w:rPr>
        <w:tab/>
      </w:r>
      <w:r>
        <w:rPr>
          <w:rFonts w:ascii="Arial" w:hAnsi="Arial" w:cs="Arial"/>
          <w:sz w:val="18"/>
          <w:szCs w:val="18"/>
          <w:u w:val="single"/>
          <w:lang w:eastAsia="hr-HR"/>
        </w:rPr>
        <w:tab/>
      </w:r>
      <w:r>
        <w:rPr>
          <w:rFonts w:ascii="Arial" w:hAnsi="Arial" w:cs="Arial"/>
          <w:sz w:val="18"/>
          <w:szCs w:val="18"/>
          <w:u w:val="single"/>
          <w:lang w:eastAsia="hr-HR"/>
        </w:rPr>
        <w:tab/>
        <w:t xml:space="preserve">     20.369.917,68 kn</w:t>
      </w:r>
    </w:p>
    <w:p w:rsidR="000E6519" w:rsidRPr="00A805D6" w:rsidRDefault="000E6519" w:rsidP="00DF3810">
      <w:pPr>
        <w:pStyle w:val="ListParagraph"/>
        <w:ind w:left="1428"/>
        <w:jc w:val="both"/>
        <w:rPr>
          <w:rFonts w:ascii="Arial" w:hAnsi="Arial" w:cs="Arial"/>
          <w:sz w:val="18"/>
          <w:szCs w:val="18"/>
          <w:lang w:val="hr-HR" w:eastAsia="hr-HR"/>
        </w:rPr>
      </w:pPr>
    </w:p>
    <w:p w:rsidR="00703D49" w:rsidRDefault="00AE04CD" w:rsidP="00B7285F">
      <w:pPr>
        <w:jc w:val="both"/>
        <w:rPr>
          <w:rFonts w:ascii="Arial" w:hAnsi="Arial" w:cs="Arial"/>
          <w:sz w:val="18"/>
          <w:szCs w:val="18"/>
          <w:lang w:val="hr-HR" w:eastAsia="hr-HR"/>
        </w:rPr>
      </w:pPr>
      <w:r>
        <w:rPr>
          <w:rFonts w:ascii="Arial" w:hAnsi="Arial" w:cs="Arial"/>
          <w:sz w:val="18"/>
          <w:szCs w:val="18"/>
          <w:lang w:val="hr-HR" w:eastAsia="hr-HR"/>
        </w:rPr>
        <w:t xml:space="preserve">Prihodi za financiranje rashoda rashoda poslovanja u iznosu od 1.655.491,03 kn </w:t>
      </w:r>
      <w:r w:rsidR="00A00FD3">
        <w:rPr>
          <w:rFonts w:ascii="Arial" w:hAnsi="Arial" w:cs="Arial"/>
          <w:sz w:val="18"/>
          <w:szCs w:val="18"/>
          <w:lang w:val="hr-HR" w:eastAsia="hr-HR"/>
        </w:rPr>
        <w:t xml:space="preserve">(izvor financiranja 559) </w:t>
      </w:r>
      <w:r>
        <w:rPr>
          <w:rFonts w:ascii="Arial" w:hAnsi="Arial" w:cs="Arial"/>
          <w:sz w:val="18"/>
          <w:szCs w:val="18"/>
          <w:lang w:val="hr-HR" w:eastAsia="hr-HR"/>
        </w:rPr>
        <w:t>odnose se na sljedeće projekte:</w:t>
      </w:r>
    </w:p>
    <w:p w:rsidR="00AE04CD" w:rsidRDefault="00AE04CD" w:rsidP="0049010F">
      <w:pPr>
        <w:ind w:left="720"/>
        <w:jc w:val="both"/>
        <w:rPr>
          <w:rFonts w:ascii="Arial" w:hAnsi="Arial" w:cs="Arial"/>
          <w:sz w:val="18"/>
          <w:szCs w:val="18"/>
          <w:lang w:val="hr-HR" w:eastAsia="hr-HR"/>
        </w:rPr>
      </w:pPr>
    </w:p>
    <w:p w:rsidR="00AE04CD" w:rsidRPr="00C11D45" w:rsidRDefault="00AE04CD" w:rsidP="001B6EC0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lang w:val="hr-HR" w:eastAsia="hr-HR"/>
        </w:rPr>
      </w:pPr>
      <w:r w:rsidRPr="00C11D45">
        <w:rPr>
          <w:rFonts w:ascii="Arial" w:hAnsi="Arial" w:cs="Arial"/>
          <w:sz w:val="18"/>
          <w:szCs w:val="18"/>
          <w:lang w:val="hr-HR" w:eastAsia="hr-HR"/>
        </w:rPr>
        <w:t xml:space="preserve">CEF – Unapr. infrastr. </w:t>
      </w:r>
      <w:r w:rsidR="00CB4AAD">
        <w:rPr>
          <w:rFonts w:ascii="Arial" w:hAnsi="Arial" w:cs="Arial"/>
          <w:sz w:val="18"/>
          <w:szCs w:val="18"/>
          <w:lang w:val="hr-HR" w:eastAsia="hr-HR"/>
        </w:rPr>
        <w:t>l</w:t>
      </w:r>
      <w:r w:rsidRPr="00C11D45">
        <w:rPr>
          <w:rFonts w:ascii="Arial" w:hAnsi="Arial" w:cs="Arial"/>
          <w:sz w:val="18"/>
          <w:szCs w:val="18"/>
          <w:lang w:val="hr-HR" w:eastAsia="hr-HR"/>
        </w:rPr>
        <w:t xml:space="preserve">uke Rijeka – </w:t>
      </w:r>
      <w:r w:rsidR="00CB4AAD">
        <w:rPr>
          <w:rFonts w:ascii="Arial" w:hAnsi="Arial" w:cs="Arial"/>
          <w:sz w:val="18"/>
          <w:szCs w:val="18"/>
          <w:lang w:val="hr-HR" w:eastAsia="hr-HR"/>
        </w:rPr>
        <w:t>i</w:t>
      </w:r>
      <w:r w:rsidRPr="00C11D45">
        <w:rPr>
          <w:rFonts w:ascii="Arial" w:hAnsi="Arial" w:cs="Arial"/>
          <w:sz w:val="18"/>
          <w:szCs w:val="18"/>
          <w:lang w:val="hr-HR" w:eastAsia="hr-HR"/>
        </w:rPr>
        <w:t xml:space="preserve">nform. sustav Lučke zajednice – PCS: </w:t>
      </w:r>
      <w:r w:rsidR="00F53CCA" w:rsidRPr="00C11D45">
        <w:rPr>
          <w:rFonts w:ascii="Arial" w:hAnsi="Arial" w:cs="Arial"/>
          <w:sz w:val="18"/>
          <w:szCs w:val="18"/>
          <w:lang w:val="hr-HR" w:eastAsia="hr-HR"/>
        </w:rPr>
        <w:t xml:space="preserve"> </w:t>
      </w:r>
      <w:r w:rsidR="00C11D45" w:rsidRPr="00C11D45">
        <w:rPr>
          <w:rFonts w:ascii="Arial" w:hAnsi="Arial" w:cs="Arial"/>
          <w:sz w:val="18"/>
          <w:szCs w:val="18"/>
          <w:lang w:val="hr-HR" w:eastAsia="hr-HR"/>
        </w:rPr>
        <w:t xml:space="preserve">  </w:t>
      </w:r>
      <w:r w:rsidR="00C11D45" w:rsidRPr="00C11D45">
        <w:rPr>
          <w:rFonts w:ascii="Arial" w:hAnsi="Arial" w:cs="Arial"/>
          <w:sz w:val="18"/>
          <w:szCs w:val="18"/>
          <w:lang w:eastAsia="hr-HR"/>
        </w:rPr>
        <w:t xml:space="preserve"> </w:t>
      </w:r>
      <w:r w:rsidR="009B5D91">
        <w:rPr>
          <w:rFonts w:ascii="Arial" w:hAnsi="Arial" w:cs="Arial"/>
          <w:sz w:val="18"/>
          <w:szCs w:val="18"/>
          <w:lang w:eastAsia="hr-HR"/>
        </w:rPr>
        <w:tab/>
      </w:r>
      <w:r w:rsidR="00C11D45" w:rsidRPr="00C11D45">
        <w:rPr>
          <w:rFonts w:ascii="Arial" w:hAnsi="Arial" w:cs="Arial"/>
          <w:sz w:val="18"/>
          <w:szCs w:val="18"/>
          <w:lang w:eastAsia="hr-HR"/>
        </w:rPr>
        <w:t xml:space="preserve">49,728.64 </w:t>
      </w:r>
      <w:r w:rsidRPr="00C11D45">
        <w:rPr>
          <w:rFonts w:ascii="Arial" w:hAnsi="Arial" w:cs="Arial"/>
          <w:sz w:val="18"/>
          <w:szCs w:val="18"/>
          <w:lang w:eastAsia="hr-HR"/>
        </w:rPr>
        <w:t xml:space="preserve">kn </w:t>
      </w:r>
    </w:p>
    <w:p w:rsidR="00AE04CD" w:rsidRPr="00F53CCA" w:rsidRDefault="00AE04CD" w:rsidP="003A02C0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lang w:val="hr-HR" w:eastAsia="hr-HR"/>
        </w:rPr>
      </w:pPr>
      <w:r w:rsidRPr="00F53CCA">
        <w:rPr>
          <w:rFonts w:ascii="Arial" w:hAnsi="Arial" w:cs="Arial"/>
          <w:sz w:val="18"/>
          <w:szCs w:val="18"/>
          <w:lang w:val="hr-HR" w:eastAsia="hr-HR"/>
        </w:rPr>
        <w:t xml:space="preserve">CEF – </w:t>
      </w:r>
      <w:r w:rsidR="00CB4AAD">
        <w:rPr>
          <w:rFonts w:ascii="Arial" w:hAnsi="Arial" w:cs="Arial"/>
          <w:sz w:val="18"/>
          <w:szCs w:val="18"/>
          <w:lang w:val="hr-HR" w:eastAsia="hr-HR"/>
        </w:rPr>
        <w:t>Unapr. infrastr. luke Rijeka - p</w:t>
      </w:r>
      <w:r w:rsidRPr="00F53CCA">
        <w:rPr>
          <w:rFonts w:ascii="Arial" w:hAnsi="Arial" w:cs="Arial"/>
          <w:sz w:val="18"/>
          <w:szCs w:val="18"/>
          <w:lang w:val="hr-HR" w:eastAsia="hr-HR"/>
        </w:rPr>
        <w:t xml:space="preserve">rodubljenje južnog veza </w:t>
      </w:r>
      <w:r w:rsidR="00CB4AAD">
        <w:rPr>
          <w:rFonts w:ascii="Arial" w:hAnsi="Arial" w:cs="Arial"/>
          <w:sz w:val="18"/>
          <w:szCs w:val="18"/>
          <w:lang w:val="hr-HR" w:eastAsia="hr-HR"/>
        </w:rPr>
        <w:t>AGCT</w:t>
      </w:r>
      <w:r w:rsidRPr="00F53CCA">
        <w:rPr>
          <w:rFonts w:ascii="Arial" w:hAnsi="Arial" w:cs="Arial"/>
          <w:sz w:val="18"/>
          <w:szCs w:val="18"/>
          <w:lang w:val="hr-HR" w:eastAsia="hr-HR"/>
        </w:rPr>
        <w:t xml:space="preserve">:  </w:t>
      </w:r>
      <w:r w:rsidR="00F53CCA" w:rsidRPr="00F53CCA">
        <w:rPr>
          <w:rFonts w:ascii="Arial" w:hAnsi="Arial" w:cs="Arial"/>
          <w:sz w:val="18"/>
          <w:szCs w:val="18"/>
          <w:lang w:eastAsia="hr-HR"/>
        </w:rPr>
        <w:t xml:space="preserve">      </w:t>
      </w:r>
      <w:r w:rsidR="009B5D91">
        <w:rPr>
          <w:rFonts w:ascii="Arial" w:hAnsi="Arial" w:cs="Arial"/>
          <w:sz w:val="18"/>
          <w:szCs w:val="18"/>
          <w:lang w:eastAsia="hr-HR"/>
        </w:rPr>
        <w:tab/>
      </w:r>
      <w:r w:rsidR="00F53CCA" w:rsidRPr="00F53CCA">
        <w:rPr>
          <w:rFonts w:ascii="Arial" w:hAnsi="Arial" w:cs="Arial"/>
          <w:sz w:val="18"/>
          <w:szCs w:val="18"/>
          <w:lang w:eastAsia="hr-HR"/>
        </w:rPr>
        <w:t xml:space="preserve"> 1,069.75 </w:t>
      </w:r>
      <w:r w:rsidRPr="00F53CCA">
        <w:rPr>
          <w:rFonts w:ascii="Arial" w:hAnsi="Arial" w:cs="Arial"/>
          <w:sz w:val="18"/>
          <w:szCs w:val="18"/>
          <w:lang w:eastAsia="hr-HR"/>
        </w:rPr>
        <w:t>kn</w:t>
      </w:r>
    </w:p>
    <w:p w:rsidR="00AE04CD" w:rsidRPr="009B5D91" w:rsidRDefault="00AE04CD" w:rsidP="009B5D9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lang w:eastAsia="hr-HR"/>
        </w:rPr>
      </w:pPr>
      <w:r w:rsidRPr="009B5D91">
        <w:rPr>
          <w:rFonts w:ascii="Arial" w:hAnsi="Arial" w:cs="Arial"/>
          <w:sz w:val="18"/>
          <w:szCs w:val="18"/>
          <w:lang w:val="hr-HR" w:eastAsia="hr-HR"/>
        </w:rPr>
        <w:t xml:space="preserve">CEF – </w:t>
      </w:r>
      <w:r w:rsidR="00CB4AAD" w:rsidRPr="009B5D91">
        <w:rPr>
          <w:rFonts w:ascii="Arial" w:hAnsi="Arial" w:cs="Arial"/>
          <w:sz w:val="18"/>
          <w:szCs w:val="18"/>
          <w:lang w:val="hr-HR" w:eastAsia="hr-HR"/>
        </w:rPr>
        <w:t>Unapr. infrastr. luke Rijeka – Zagreb Deep Sea k</w:t>
      </w:r>
      <w:r w:rsidRPr="009B5D91">
        <w:rPr>
          <w:rFonts w:ascii="Arial" w:hAnsi="Arial" w:cs="Arial"/>
          <w:sz w:val="18"/>
          <w:szCs w:val="18"/>
          <w:lang w:val="hr-HR" w:eastAsia="hr-HR"/>
        </w:rPr>
        <w:t xml:space="preserve">ontejnerski terminal   </w:t>
      </w:r>
      <w:r w:rsidR="009B5D91">
        <w:rPr>
          <w:rFonts w:ascii="Arial" w:hAnsi="Arial" w:cs="Arial"/>
          <w:sz w:val="18"/>
          <w:szCs w:val="18"/>
          <w:lang w:val="hr-HR" w:eastAsia="hr-HR"/>
        </w:rPr>
        <w:t xml:space="preserve">      152,599.32 kn</w:t>
      </w:r>
      <w:r w:rsidRPr="009B5D91">
        <w:rPr>
          <w:rFonts w:ascii="Arial" w:hAnsi="Arial" w:cs="Arial"/>
          <w:sz w:val="18"/>
          <w:szCs w:val="18"/>
          <w:lang w:val="hr-HR" w:eastAsia="hr-HR"/>
        </w:rPr>
        <w:t xml:space="preserve">                       </w:t>
      </w:r>
      <w:r w:rsidR="00F53CCA" w:rsidRPr="009B5D91">
        <w:rPr>
          <w:rFonts w:ascii="Arial" w:hAnsi="Arial" w:cs="Arial"/>
          <w:sz w:val="18"/>
          <w:szCs w:val="18"/>
          <w:lang w:eastAsia="hr-HR"/>
        </w:rPr>
        <w:t xml:space="preserve">             </w:t>
      </w:r>
      <w:r w:rsidR="009B5D91" w:rsidRPr="009B5D91">
        <w:rPr>
          <w:rFonts w:ascii="Arial" w:hAnsi="Arial" w:cs="Arial"/>
          <w:sz w:val="18"/>
          <w:szCs w:val="18"/>
          <w:lang w:eastAsia="hr-HR"/>
        </w:rPr>
        <w:t xml:space="preserve"> </w:t>
      </w:r>
    </w:p>
    <w:p w:rsidR="00AE04CD" w:rsidRPr="00F53CCA" w:rsidRDefault="00AE04CD" w:rsidP="003E7C6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lang w:eastAsia="hr-HR"/>
        </w:rPr>
      </w:pPr>
      <w:r w:rsidRPr="00F53CCA">
        <w:rPr>
          <w:rFonts w:ascii="Arial" w:hAnsi="Arial" w:cs="Arial"/>
          <w:sz w:val="18"/>
          <w:szCs w:val="18"/>
          <w:lang w:val="hr-HR" w:eastAsia="hr-HR"/>
        </w:rPr>
        <w:t xml:space="preserve">CEF – </w:t>
      </w:r>
      <w:r w:rsidR="00CB4AAD">
        <w:rPr>
          <w:rFonts w:ascii="Arial" w:hAnsi="Arial" w:cs="Arial"/>
          <w:sz w:val="18"/>
          <w:szCs w:val="18"/>
          <w:lang w:val="hr-HR" w:eastAsia="hr-HR"/>
        </w:rPr>
        <w:t>Razvoj mu</w:t>
      </w:r>
      <w:r w:rsidRPr="00F53CCA">
        <w:rPr>
          <w:rFonts w:ascii="Arial" w:hAnsi="Arial" w:cs="Arial"/>
          <w:sz w:val="18"/>
          <w:szCs w:val="18"/>
          <w:lang w:val="hr-HR" w:eastAsia="hr-HR"/>
        </w:rPr>
        <w:t>ltimodaln</w:t>
      </w:r>
      <w:r w:rsidR="00CB4AAD">
        <w:rPr>
          <w:rFonts w:ascii="Arial" w:hAnsi="Arial" w:cs="Arial"/>
          <w:sz w:val="18"/>
          <w:szCs w:val="18"/>
          <w:lang w:val="hr-HR" w:eastAsia="hr-HR"/>
        </w:rPr>
        <w:t>e</w:t>
      </w:r>
      <w:r w:rsidRPr="00F53CCA">
        <w:rPr>
          <w:rFonts w:ascii="Arial" w:hAnsi="Arial" w:cs="Arial"/>
          <w:sz w:val="18"/>
          <w:szCs w:val="18"/>
          <w:lang w:val="hr-HR" w:eastAsia="hr-HR"/>
        </w:rPr>
        <w:t xml:space="preserve"> platform</w:t>
      </w:r>
      <w:r w:rsidR="00CB4AAD">
        <w:rPr>
          <w:rFonts w:ascii="Arial" w:hAnsi="Arial" w:cs="Arial"/>
          <w:sz w:val="18"/>
          <w:szCs w:val="18"/>
          <w:lang w:val="hr-HR" w:eastAsia="hr-HR"/>
        </w:rPr>
        <w:t xml:space="preserve">e u luci Rijeka i povezivanje s kontejnerskim terminalom Jadranska vrata </w:t>
      </w:r>
      <w:r w:rsidRPr="00F53CCA">
        <w:rPr>
          <w:rFonts w:ascii="Arial" w:hAnsi="Arial" w:cs="Arial"/>
          <w:sz w:val="18"/>
          <w:szCs w:val="18"/>
          <w:lang w:val="hr-HR" w:eastAsia="hr-HR"/>
        </w:rPr>
        <w:tab/>
      </w:r>
      <w:r w:rsidR="00F53CCA" w:rsidRPr="00F53CCA">
        <w:rPr>
          <w:rFonts w:ascii="Arial" w:hAnsi="Arial" w:cs="Arial"/>
          <w:sz w:val="18"/>
          <w:szCs w:val="18"/>
          <w:lang w:eastAsia="hr-HR"/>
        </w:rPr>
        <w:t xml:space="preserve">         </w:t>
      </w:r>
      <w:r w:rsidR="009B5D91">
        <w:rPr>
          <w:rFonts w:ascii="Arial" w:hAnsi="Arial" w:cs="Arial"/>
          <w:sz w:val="18"/>
          <w:szCs w:val="18"/>
          <w:lang w:eastAsia="hr-HR"/>
        </w:rPr>
        <w:tab/>
      </w:r>
      <w:r w:rsidR="009B5D91">
        <w:rPr>
          <w:rFonts w:ascii="Arial" w:hAnsi="Arial" w:cs="Arial"/>
          <w:sz w:val="18"/>
          <w:szCs w:val="18"/>
          <w:lang w:eastAsia="hr-HR"/>
        </w:rPr>
        <w:tab/>
      </w:r>
      <w:r w:rsidR="009B5D91">
        <w:rPr>
          <w:rFonts w:ascii="Arial" w:hAnsi="Arial" w:cs="Arial"/>
          <w:sz w:val="18"/>
          <w:szCs w:val="18"/>
          <w:lang w:eastAsia="hr-HR"/>
        </w:rPr>
        <w:tab/>
      </w:r>
      <w:r w:rsidR="009B5D91">
        <w:rPr>
          <w:rFonts w:ascii="Arial" w:hAnsi="Arial" w:cs="Arial"/>
          <w:sz w:val="18"/>
          <w:szCs w:val="18"/>
          <w:lang w:eastAsia="hr-HR"/>
        </w:rPr>
        <w:tab/>
      </w:r>
      <w:r w:rsidR="009B5D91">
        <w:rPr>
          <w:rFonts w:ascii="Arial" w:hAnsi="Arial" w:cs="Arial"/>
          <w:sz w:val="18"/>
          <w:szCs w:val="18"/>
          <w:lang w:eastAsia="hr-HR"/>
        </w:rPr>
        <w:tab/>
      </w:r>
      <w:r w:rsidR="009B5D91">
        <w:rPr>
          <w:rFonts w:ascii="Arial" w:hAnsi="Arial" w:cs="Arial"/>
          <w:sz w:val="18"/>
          <w:szCs w:val="18"/>
          <w:lang w:eastAsia="hr-HR"/>
        </w:rPr>
        <w:tab/>
        <w:t xml:space="preserve">             </w:t>
      </w:r>
      <w:r w:rsidR="00F53CCA" w:rsidRPr="00F53CCA">
        <w:rPr>
          <w:rFonts w:ascii="Arial" w:hAnsi="Arial" w:cs="Arial"/>
          <w:sz w:val="18"/>
          <w:szCs w:val="18"/>
          <w:lang w:eastAsia="hr-HR"/>
        </w:rPr>
        <w:t xml:space="preserve">142,000.52 </w:t>
      </w:r>
      <w:r w:rsidRPr="00F53CCA">
        <w:rPr>
          <w:rFonts w:ascii="Arial" w:hAnsi="Arial" w:cs="Arial"/>
          <w:sz w:val="18"/>
          <w:szCs w:val="18"/>
          <w:lang w:eastAsia="hr-HR"/>
        </w:rPr>
        <w:t xml:space="preserve">kn </w:t>
      </w:r>
    </w:p>
    <w:p w:rsidR="00AE04CD" w:rsidRPr="00F53CCA" w:rsidRDefault="00AE04CD" w:rsidP="00FC099F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lang w:eastAsia="hr-HR"/>
        </w:rPr>
      </w:pPr>
      <w:r w:rsidRPr="00F53CCA">
        <w:rPr>
          <w:rFonts w:ascii="Arial" w:hAnsi="Arial" w:cs="Arial"/>
          <w:sz w:val="18"/>
          <w:szCs w:val="18"/>
          <w:lang w:val="hr-HR" w:eastAsia="hr-HR"/>
        </w:rPr>
        <w:t xml:space="preserve">CEF – </w:t>
      </w:r>
      <w:r w:rsidR="00CB4AAD">
        <w:rPr>
          <w:rFonts w:ascii="Arial" w:hAnsi="Arial" w:cs="Arial"/>
          <w:sz w:val="18"/>
          <w:szCs w:val="18"/>
          <w:lang w:val="hr-HR" w:eastAsia="hr-HR"/>
        </w:rPr>
        <w:t>Unapr. infrastr. luke Rijeka - t</w:t>
      </w:r>
      <w:r w:rsidRPr="00F53CCA">
        <w:rPr>
          <w:rFonts w:ascii="Arial" w:hAnsi="Arial" w:cs="Arial"/>
          <w:sz w:val="18"/>
          <w:szCs w:val="18"/>
          <w:lang w:val="hr-HR" w:eastAsia="hr-HR"/>
        </w:rPr>
        <w:t xml:space="preserve">erminal za generalne terete </w:t>
      </w:r>
      <w:r w:rsidR="00CB4AAD">
        <w:rPr>
          <w:rFonts w:ascii="Arial" w:hAnsi="Arial" w:cs="Arial"/>
          <w:sz w:val="18"/>
          <w:szCs w:val="18"/>
          <w:lang w:val="hr-HR" w:eastAsia="hr-HR"/>
        </w:rPr>
        <w:t xml:space="preserve">– bazen </w:t>
      </w:r>
      <w:r w:rsidRPr="00F53CCA">
        <w:rPr>
          <w:rFonts w:ascii="Arial" w:hAnsi="Arial" w:cs="Arial"/>
          <w:sz w:val="18"/>
          <w:szCs w:val="18"/>
          <w:lang w:val="hr-HR" w:eastAsia="hr-HR"/>
        </w:rPr>
        <w:t>Raša (GCT)</w:t>
      </w:r>
      <w:r w:rsidRPr="00F53CCA">
        <w:rPr>
          <w:rFonts w:ascii="Arial" w:hAnsi="Arial" w:cs="Arial"/>
          <w:sz w:val="18"/>
          <w:szCs w:val="18"/>
          <w:lang w:val="hr-HR" w:eastAsia="hr-HR"/>
        </w:rPr>
        <w:tab/>
      </w:r>
      <w:r w:rsidRPr="00F53CCA">
        <w:rPr>
          <w:rFonts w:ascii="Arial" w:hAnsi="Arial" w:cs="Arial"/>
          <w:sz w:val="18"/>
          <w:szCs w:val="18"/>
          <w:lang w:val="hr-HR" w:eastAsia="hr-HR"/>
        </w:rPr>
        <w:tab/>
      </w:r>
      <w:r w:rsidRPr="00F53CCA">
        <w:rPr>
          <w:rFonts w:ascii="Arial" w:hAnsi="Arial" w:cs="Arial"/>
          <w:sz w:val="18"/>
          <w:szCs w:val="18"/>
          <w:lang w:eastAsia="hr-HR"/>
        </w:rPr>
        <w:t xml:space="preserve">   </w:t>
      </w:r>
      <w:r w:rsidR="00F53CCA" w:rsidRPr="00F53CCA">
        <w:rPr>
          <w:rFonts w:ascii="Arial" w:hAnsi="Arial" w:cs="Arial"/>
          <w:sz w:val="18"/>
          <w:szCs w:val="18"/>
          <w:lang w:eastAsia="hr-HR"/>
        </w:rPr>
        <w:t xml:space="preserve">                      </w:t>
      </w:r>
      <w:r w:rsidR="009B5D91">
        <w:rPr>
          <w:rFonts w:ascii="Arial" w:hAnsi="Arial" w:cs="Arial"/>
          <w:sz w:val="18"/>
          <w:szCs w:val="18"/>
          <w:lang w:eastAsia="hr-HR"/>
        </w:rPr>
        <w:tab/>
      </w:r>
      <w:r w:rsidR="009B5D91">
        <w:rPr>
          <w:rFonts w:ascii="Arial" w:hAnsi="Arial" w:cs="Arial"/>
          <w:sz w:val="18"/>
          <w:szCs w:val="18"/>
          <w:lang w:eastAsia="hr-HR"/>
        </w:rPr>
        <w:tab/>
      </w:r>
      <w:r w:rsidR="009B5D91">
        <w:rPr>
          <w:rFonts w:ascii="Arial" w:hAnsi="Arial" w:cs="Arial"/>
          <w:sz w:val="18"/>
          <w:szCs w:val="18"/>
          <w:lang w:eastAsia="hr-HR"/>
        </w:rPr>
        <w:tab/>
      </w:r>
      <w:r w:rsidR="009B5D91">
        <w:rPr>
          <w:rFonts w:ascii="Arial" w:hAnsi="Arial" w:cs="Arial"/>
          <w:sz w:val="18"/>
          <w:szCs w:val="18"/>
          <w:lang w:eastAsia="hr-HR"/>
        </w:rPr>
        <w:tab/>
      </w:r>
      <w:r w:rsidR="009B5D91">
        <w:rPr>
          <w:rFonts w:ascii="Arial" w:hAnsi="Arial" w:cs="Arial"/>
          <w:sz w:val="18"/>
          <w:szCs w:val="18"/>
          <w:lang w:eastAsia="hr-HR"/>
        </w:rPr>
        <w:tab/>
      </w:r>
      <w:r w:rsidR="009B5D91">
        <w:rPr>
          <w:rFonts w:ascii="Arial" w:hAnsi="Arial" w:cs="Arial"/>
          <w:sz w:val="18"/>
          <w:szCs w:val="18"/>
          <w:lang w:eastAsia="hr-HR"/>
        </w:rPr>
        <w:tab/>
      </w:r>
      <w:r w:rsidR="009B5D91">
        <w:rPr>
          <w:rFonts w:ascii="Arial" w:hAnsi="Arial" w:cs="Arial"/>
          <w:sz w:val="18"/>
          <w:szCs w:val="18"/>
          <w:lang w:eastAsia="hr-HR"/>
        </w:rPr>
        <w:tab/>
      </w:r>
      <w:r w:rsidR="009B5D91">
        <w:rPr>
          <w:rFonts w:ascii="Arial" w:hAnsi="Arial" w:cs="Arial"/>
          <w:sz w:val="18"/>
          <w:szCs w:val="18"/>
          <w:lang w:eastAsia="hr-HR"/>
        </w:rPr>
        <w:tab/>
        <w:t xml:space="preserve"> </w:t>
      </w:r>
      <w:r w:rsidR="00F53CCA" w:rsidRPr="00F53CCA">
        <w:rPr>
          <w:rFonts w:ascii="Arial" w:hAnsi="Arial" w:cs="Arial"/>
          <w:sz w:val="18"/>
          <w:szCs w:val="18"/>
          <w:lang w:eastAsia="hr-HR"/>
        </w:rPr>
        <w:t xml:space="preserve">10,483.76 </w:t>
      </w:r>
      <w:r w:rsidRPr="00F53CCA">
        <w:rPr>
          <w:rFonts w:ascii="Arial" w:hAnsi="Arial" w:cs="Arial"/>
          <w:sz w:val="18"/>
          <w:szCs w:val="18"/>
          <w:lang w:eastAsia="hr-HR"/>
        </w:rPr>
        <w:t xml:space="preserve">kn </w:t>
      </w:r>
    </w:p>
    <w:p w:rsidR="00F40315" w:rsidRPr="009B5D91" w:rsidRDefault="00F40315" w:rsidP="009B5D91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  <w:lang w:eastAsia="hr-HR"/>
        </w:rPr>
      </w:pPr>
      <w:r w:rsidRPr="00F40315">
        <w:rPr>
          <w:rFonts w:ascii="Arial" w:hAnsi="Arial" w:cs="Arial"/>
          <w:sz w:val="18"/>
          <w:szCs w:val="18"/>
          <w:lang w:val="hr-HR" w:eastAsia="hr-HR"/>
        </w:rPr>
        <w:t xml:space="preserve">CEF – </w:t>
      </w:r>
      <w:r w:rsidR="00CB4AAD">
        <w:rPr>
          <w:rFonts w:ascii="Arial" w:hAnsi="Arial" w:cs="Arial"/>
          <w:sz w:val="18"/>
          <w:szCs w:val="18"/>
          <w:lang w:val="hr-HR" w:eastAsia="hr-HR"/>
        </w:rPr>
        <w:t>Unapr. infrastr. luke Rijeka - t</w:t>
      </w:r>
      <w:r w:rsidRPr="00F40315">
        <w:rPr>
          <w:rFonts w:ascii="Arial" w:hAnsi="Arial" w:cs="Arial"/>
          <w:sz w:val="18"/>
          <w:szCs w:val="18"/>
          <w:lang w:val="hr-HR" w:eastAsia="hr-HR"/>
        </w:rPr>
        <w:t>erminal za rasut</w:t>
      </w:r>
      <w:r w:rsidR="0069072E">
        <w:rPr>
          <w:rFonts w:ascii="Arial" w:hAnsi="Arial" w:cs="Arial"/>
          <w:sz w:val="18"/>
          <w:szCs w:val="18"/>
          <w:lang w:val="hr-HR" w:eastAsia="hr-HR"/>
        </w:rPr>
        <w:t>e</w:t>
      </w:r>
      <w:r w:rsidRPr="00F40315">
        <w:rPr>
          <w:rFonts w:ascii="Arial" w:hAnsi="Arial" w:cs="Arial"/>
          <w:sz w:val="18"/>
          <w:szCs w:val="18"/>
          <w:lang w:val="hr-HR" w:eastAsia="hr-HR"/>
        </w:rPr>
        <w:t xml:space="preserve"> teret</w:t>
      </w:r>
      <w:r w:rsidR="0069072E">
        <w:rPr>
          <w:rFonts w:ascii="Arial" w:hAnsi="Arial" w:cs="Arial"/>
          <w:sz w:val="18"/>
          <w:szCs w:val="18"/>
          <w:lang w:val="hr-HR" w:eastAsia="hr-HR"/>
        </w:rPr>
        <w:t xml:space="preserve">e </w:t>
      </w:r>
      <w:r w:rsidRPr="00F40315">
        <w:rPr>
          <w:rFonts w:ascii="Arial" w:hAnsi="Arial" w:cs="Arial"/>
          <w:sz w:val="18"/>
          <w:szCs w:val="18"/>
          <w:lang w:val="hr-HR" w:eastAsia="hr-HR"/>
        </w:rPr>
        <w:t xml:space="preserve"> Bakar</w:t>
      </w:r>
      <w:r w:rsidRPr="00F40315">
        <w:rPr>
          <w:rFonts w:ascii="Arial" w:hAnsi="Arial" w:cs="Arial"/>
          <w:sz w:val="18"/>
          <w:szCs w:val="18"/>
          <w:lang w:eastAsia="hr-HR"/>
        </w:rPr>
        <w:t xml:space="preserve">      </w:t>
      </w:r>
      <w:r>
        <w:rPr>
          <w:rFonts w:ascii="Arial" w:hAnsi="Arial" w:cs="Arial"/>
          <w:sz w:val="18"/>
          <w:szCs w:val="18"/>
          <w:lang w:eastAsia="hr-HR"/>
        </w:rPr>
        <w:tab/>
      </w:r>
      <w:r w:rsidR="009B5D91">
        <w:rPr>
          <w:rFonts w:ascii="Arial" w:hAnsi="Arial" w:cs="Arial"/>
          <w:sz w:val="18"/>
          <w:szCs w:val="18"/>
          <w:lang w:eastAsia="hr-HR"/>
        </w:rPr>
        <w:t xml:space="preserve">             278,137,42 kn</w:t>
      </w:r>
    </w:p>
    <w:p w:rsidR="00F40315" w:rsidRPr="00B514B2" w:rsidRDefault="00620873" w:rsidP="00AB698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lang w:val="hr-HR" w:eastAsia="hr-HR"/>
        </w:rPr>
      </w:pPr>
      <w:r w:rsidRPr="00B514B2">
        <w:rPr>
          <w:rFonts w:ascii="Arial" w:hAnsi="Arial" w:cs="Arial"/>
          <w:sz w:val="18"/>
          <w:szCs w:val="18"/>
          <w:lang w:val="hr-HR" w:eastAsia="hr-HR"/>
        </w:rPr>
        <w:t>INTERREG CBC ITALIJA-HRVATSKA 2014-2020 PROJEKT INTESA</w:t>
      </w:r>
      <w:r w:rsidR="00B514B2" w:rsidRPr="00B514B2">
        <w:rPr>
          <w:rFonts w:ascii="Arial" w:hAnsi="Arial" w:cs="Arial"/>
          <w:sz w:val="18"/>
          <w:szCs w:val="18"/>
          <w:lang w:eastAsia="hr-HR"/>
        </w:rPr>
        <w:t xml:space="preserve">            </w:t>
      </w:r>
      <w:r w:rsidR="009B5D91">
        <w:rPr>
          <w:rFonts w:ascii="Arial" w:hAnsi="Arial" w:cs="Arial"/>
          <w:sz w:val="18"/>
          <w:szCs w:val="18"/>
          <w:lang w:eastAsia="hr-HR"/>
        </w:rPr>
        <w:t xml:space="preserve">     </w:t>
      </w:r>
      <w:r w:rsidR="00B514B2" w:rsidRPr="00B514B2">
        <w:rPr>
          <w:rFonts w:ascii="Arial" w:hAnsi="Arial" w:cs="Arial"/>
          <w:sz w:val="18"/>
          <w:szCs w:val="18"/>
          <w:lang w:eastAsia="hr-HR"/>
        </w:rPr>
        <w:t xml:space="preserve"> 343,918.64 kn</w:t>
      </w:r>
    </w:p>
    <w:p w:rsidR="00620873" w:rsidRPr="00B514B2" w:rsidRDefault="00620873" w:rsidP="00C7491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lang w:val="hr-HR" w:eastAsia="hr-HR"/>
        </w:rPr>
      </w:pPr>
      <w:r w:rsidRPr="00B514B2">
        <w:rPr>
          <w:rFonts w:ascii="Arial" w:hAnsi="Arial" w:cs="Arial"/>
          <w:sz w:val="18"/>
          <w:szCs w:val="18"/>
          <w:lang w:val="hr-HR" w:eastAsia="hr-HR"/>
        </w:rPr>
        <w:t>INTERREG CBC ITALIJA-HRVATSKA 2014-2020 PROJEKT PROMARES</w:t>
      </w:r>
      <w:r w:rsidR="00B514B2" w:rsidRPr="00B514B2">
        <w:rPr>
          <w:rFonts w:ascii="Arial" w:hAnsi="Arial" w:cs="Arial"/>
          <w:sz w:val="18"/>
          <w:szCs w:val="18"/>
          <w:lang w:eastAsia="hr-HR"/>
        </w:rPr>
        <w:t xml:space="preserve">      </w:t>
      </w:r>
      <w:r w:rsidR="009B5D91">
        <w:rPr>
          <w:rFonts w:ascii="Arial" w:hAnsi="Arial" w:cs="Arial"/>
          <w:sz w:val="18"/>
          <w:szCs w:val="18"/>
          <w:lang w:eastAsia="hr-HR"/>
        </w:rPr>
        <w:t xml:space="preserve">     </w:t>
      </w:r>
      <w:r w:rsidR="00B514B2" w:rsidRPr="00B514B2">
        <w:rPr>
          <w:rFonts w:ascii="Arial" w:hAnsi="Arial" w:cs="Arial"/>
          <w:sz w:val="18"/>
          <w:szCs w:val="18"/>
          <w:lang w:eastAsia="hr-HR"/>
        </w:rPr>
        <w:t>224,666.84 kn</w:t>
      </w:r>
    </w:p>
    <w:p w:rsidR="00B514B2" w:rsidRPr="00B514B2" w:rsidRDefault="00620873" w:rsidP="00B514B2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  <w:lang w:eastAsia="hr-HR"/>
        </w:rPr>
      </w:pPr>
      <w:r w:rsidRPr="00620873">
        <w:rPr>
          <w:rFonts w:ascii="Arial" w:hAnsi="Arial" w:cs="Arial"/>
          <w:sz w:val="18"/>
          <w:szCs w:val="18"/>
          <w:lang w:val="hr-HR" w:eastAsia="hr-HR"/>
        </w:rPr>
        <w:t>INTERREG CBC ITALIJA - HRVATSKA 2014 - 2020 PROJEKT SUSPORT</w:t>
      </w:r>
      <w:r w:rsidR="00B514B2" w:rsidRPr="00B514B2">
        <w:rPr>
          <w:rFonts w:ascii="Arial" w:hAnsi="Arial" w:cs="Arial"/>
          <w:sz w:val="18"/>
          <w:szCs w:val="18"/>
          <w:lang w:eastAsia="hr-HR"/>
        </w:rPr>
        <w:t xml:space="preserve">     </w:t>
      </w:r>
      <w:r w:rsidR="009B5D91">
        <w:rPr>
          <w:rFonts w:ascii="Arial" w:hAnsi="Arial" w:cs="Arial"/>
          <w:sz w:val="18"/>
          <w:szCs w:val="18"/>
          <w:lang w:eastAsia="hr-HR"/>
        </w:rPr>
        <w:t xml:space="preserve">   </w:t>
      </w:r>
      <w:r w:rsidR="00B514B2" w:rsidRPr="00B514B2">
        <w:rPr>
          <w:rFonts w:ascii="Arial" w:hAnsi="Arial" w:cs="Arial"/>
          <w:sz w:val="18"/>
          <w:szCs w:val="18"/>
          <w:lang w:eastAsia="hr-HR"/>
        </w:rPr>
        <w:t xml:space="preserve">452,886.14 </w:t>
      </w:r>
      <w:r w:rsidR="00B514B2">
        <w:rPr>
          <w:rFonts w:ascii="Arial" w:hAnsi="Arial" w:cs="Arial"/>
          <w:sz w:val="18"/>
          <w:szCs w:val="18"/>
          <w:lang w:eastAsia="hr-HR"/>
        </w:rPr>
        <w:t>kn.</w:t>
      </w:r>
    </w:p>
    <w:p w:rsidR="00AE04CD" w:rsidRDefault="00AE04CD" w:rsidP="000B6DBE">
      <w:pPr>
        <w:pStyle w:val="ListParagraph"/>
        <w:ind w:left="1428"/>
        <w:jc w:val="both"/>
        <w:rPr>
          <w:rFonts w:ascii="Arial" w:hAnsi="Arial" w:cs="Arial"/>
          <w:sz w:val="18"/>
          <w:szCs w:val="18"/>
          <w:lang w:val="hr-HR" w:eastAsia="hr-HR"/>
        </w:rPr>
      </w:pPr>
    </w:p>
    <w:p w:rsidR="00D86331" w:rsidRDefault="00D86331" w:rsidP="000B6DBE">
      <w:pPr>
        <w:pStyle w:val="ListParagraph"/>
        <w:ind w:left="1428"/>
        <w:jc w:val="both"/>
        <w:rPr>
          <w:rFonts w:ascii="Arial" w:hAnsi="Arial" w:cs="Arial"/>
          <w:sz w:val="18"/>
          <w:szCs w:val="18"/>
          <w:lang w:val="hr-HR" w:eastAsia="hr-HR"/>
        </w:rPr>
      </w:pPr>
    </w:p>
    <w:p w:rsidR="006E26D8" w:rsidRDefault="006E26D8" w:rsidP="000B6DBE">
      <w:pPr>
        <w:pStyle w:val="ListParagraph"/>
        <w:ind w:left="1428"/>
        <w:jc w:val="both"/>
        <w:rPr>
          <w:rFonts w:ascii="Arial" w:hAnsi="Arial" w:cs="Arial"/>
          <w:sz w:val="18"/>
          <w:szCs w:val="18"/>
          <w:lang w:val="hr-HR" w:eastAsia="hr-HR"/>
        </w:rPr>
      </w:pPr>
    </w:p>
    <w:p w:rsidR="00C15C8F" w:rsidRDefault="00C15C8F" w:rsidP="000B6DBE">
      <w:pPr>
        <w:pStyle w:val="ListParagraph"/>
        <w:ind w:left="1428"/>
        <w:jc w:val="both"/>
        <w:rPr>
          <w:rFonts w:ascii="Arial" w:hAnsi="Arial" w:cs="Arial"/>
          <w:sz w:val="18"/>
          <w:szCs w:val="18"/>
          <w:lang w:val="hr-HR" w:eastAsia="hr-HR"/>
        </w:rPr>
      </w:pPr>
    </w:p>
    <w:p w:rsidR="00C15C8F" w:rsidRDefault="00C15C8F" w:rsidP="000B6DBE">
      <w:pPr>
        <w:pStyle w:val="ListParagraph"/>
        <w:ind w:left="1428"/>
        <w:jc w:val="both"/>
        <w:rPr>
          <w:rFonts w:ascii="Arial" w:hAnsi="Arial" w:cs="Arial"/>
          <w:sz w:val="18"/>
          <w:szCs w:val="18"/>
          <w:lang w:val="hr-HR" w:eastAsia="hr-HR"/>
        </w:rPr>
      </w:pPr>
    </w:p>
    <w:p w:rsidR="006E26D8" w:rsidRDefault="006E26D8" w:rsidP="000B6DBE">
      <w:pPr>
        <w:pStyle w:val="ListParagraph"/>
        <w:ind w:left="1428"/>
        <w:jc w:val="both"/>
        <w:rPr>
          <w:rFonts w:ascii="Arial" w:hAnsi="Arial" w:cs="Arial"/>
          <w:sz w:val="18"/>
          <w:szCs w:val="18"/>
          <w:lang w:val="hr-HR" w:eastAsia="hr-HR"/>
        </w:rPr>
      </w:pPr>
    </w:p>
    <w:p w:rsidR="006E26D8" w:rsidRDefault="006E26D8" w:rsidP="000B6DBE">
      <w:pPr>
        <w:pStyle w:val="ListParagraph"/>
        <w:ind w:left="1428"/>
        <w:jc w:val="both"/>
        <w:rPr>
          <w:rFonts w:ascii="Arial" w:hAnsi="Arial" w:cs="Arial"/>
          <w:sz w:val="18"/>
          <w:szCs w:val="18"/>
          <w:lang w:val="hr-HR" w:eastAsia="hr-HR"/>
        </w:rPr>
      </w:pPr>
    </w:p>
    <w:p w:rsidR="00D86331" w:rsidRPr="00620873" w:rsidRDefault="00D86331" w:rsidP="000B6DBE">
      <w:pPr>
        <w:pStyle w:val="ListParagraph"/>
        <w:ind w:left="1428"/>
        <w:jc w:val="both"/>
        <w:rPr>
          <w:rFonts w:ascii="Arial" w:hAnsi="Arial" w:cs="Arial"/>
          <w:sz w:val="18"/>
          <w:szCs w:val="18"/>
          <w:lang w:val="hr-HR" w:eastAsia="hr-HR"/>
        </w:rPr>
      </w:pPr>
    </w:p>
    <w:p w:rsidR="00A51DDD" w:rsidRDefault="00A51DDD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703D49" w:rsidRDefault="00703D49" w:rsidP="00703D49">
      <w:pPr>
        <w:autoSpaceDE w:val="0"/>
        <w:autoSpaceDN w:val="0"/>
        <w:adjustRightInd w:val="0"/>
        <w:ind w:firstLine="720"/>
        <w:rPr>
          <w:rFonts w:ascii="Arial" w:hAnsi="Arial" w:cs="Arial"/>
          <w:sz w:val="18"/>
          <w:szCs w:val="18"/>
          <w:lang w:val="hr-HR"/>
        </w:rPr>
      </w:pPr>
      <w:r w:rsidRPr="00703D49">
        <w:rPr>
          <w:rFonts w:ascii="Arial" w:hAnsi="Arial" w:cs="Arial"/>
          <w:b/>
          <w:sz w:val="18"/>
          <w:szCs w:val="18"/>
          <w:lang w:val="hr-HR"/>
        </w:rPr>
        <w:lastRenderedPageBreak/>
        <w:t>Ostali prihod</w:t>
      </w:r>
      <w:r>
        <w:rPr>
          <w:rFonts w:ascii="Arial" w:hAnsi="Arial" w:cs="Arial"/>
          <w:sz w:val="18"/>
          <w:szCs w:val="18"/>
          <w:lang w:val="hr-HR"/>
        </w:rPr>
        <w:t xml:space="preserve">i </w:t>
      </w:r>
      <w:r w:rsidRPr="00F77DD4">
        <w:rPr>
          <w:rFonts w:ascii="Arial" w:hAnsi="Arial" w:cs="Arial"/>
          <w:sz w:val="18"/>
          <w:szCs w:val="18"/>
          <w:lang w:val="hr-HR"/>
        </w:rPr>
        <w:t>(izvor fin.</w:t>
      </w:r>
      <w:r w:rsidR="00312A68" w:rsidRPr="00F77DD4">
        <w:rPr>
          <w:rFonts w:ascii="Arial" w:hAnsi="Arial" w:cs="Arial"/>
          <w:sz w:val="18"/>
          <w:szCs w:val="18"/>
          <w:lang w:val="hr-HR"/>
        </w:rPr>
        <w:t>43</w:t>
      </w:r>
      <w:r w:rsidRPr="00F77DD4">
        <w:rPr>
          <w:rFonts w:ascii="Arial" w:hAnsi="Arial" w:cs="Arial"/>
          <w:sz w:val="18"/>
          <w:szCs w:val="18"/>
          <w:lang w:val="hr-HR"/>
        </w:rPr>
        <w:t xml:space="preserve">   – AOP</w:t>
      </w:r>
      <w:r w:rsidR="00F77DD4" w:rsidRPr="00F77DD4">
        <w:rPr>
          <w:rFonts w:ascii="Arial" w:hAnsi="Arial" w:cs="Arial"/>
          <w:sz w:val="18"/>
          <w:szCs w:val="18"/>
          <w:lang w:val="hr-HR"/>
        </w:rPr>
        <w:t xml:space="preserve"> 145</w:t>
      </w:r>
      <w:r>
        <w:rPr>
          <w:rFonts w:ascii="Arial" w:hAnsi="Arial" w:cs="Arial"/>
          <w:sz w:val="18"/>
          <w:szCs w:val="18"/>
          <w:lang w:val="hr-HR"/>
        </w:rPr>
        <w:t xml:space="preserve"> )</w:t>
      </w:r>
    </w:p>
    <w:p w:rsidR="00312A68" w:rsidRDefault="00312A68" w:rsidP="00703D49">
      <w:pPr>
        <w:autoSpaceDE w:val="0"/>
        <w:autoSpaceDN w:val="0"/>
        <w:adjustRightInd w:val="0"/>
        <w:ind w:firstLine="720"/>
        <w:rPr>
          <w:rFonts w:ascii="Arial" w:hAnsi="Arial" w:cs="Arial"/>
          <w:sz w:val="18"/>
          <w:szCs w:val="18"/>
          <w:lang w:val="hr-HR"/>
        </w:rPr>
      </w:pPr>
    </w:p>
    <w:p w:rsidR="00312A68" w:rsidRDefault="00312A68" w:rsidP="00E1273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Ostali prihodi u iznosu od 816.863,79 kn ostvareni su naplatom garancije za dobro izvršenje posla talijanske banke UNICREDIT S.p.A. za potraživanja prema izvođaču rado</w:t>
      </w:r>
      <w:r w:rsidR="00C15C8F">
        <w:rPr>
          <w:rFonts w:ascii="Arial" w:hAnsi="Arial" w:cs="Arial"/>
          <w:sz w:val="18"/>
          <w:szCs w:val="18"/>
          <w:lang w:val="hr-HR"/>
        </w:rPr>
        <w:t>va (JV Grandi Lavori Fincosit</w:t>
      </w:r>
      <w:r>
        <w:rPr>
          <w:rFonts w:ascii="Arial" w:hAnsi="Arial" w:cs="Arial"/>
          <w:sz w:val="18"/>
          <w:szCs w:val="18"/>
          <w:lang w:val="hr-HR"/>
        </w:rPr>
        <w:t xml:space="preserve">) </w:t>
      </w:r>
      <w:r w:rsidR="002067C4">
        <w:rPr>
          <w:rFonts w:ascii="Arial" w:hAnsi="Arial" w:cs="Arial"/>
          <w:sz w:val="18"/>
          <w:szCs w:val="18"/>
          <w:lang w:val="hr-HR"/>
        </w:rPr>
        <w:t xml:space="preserve">koja proizlaze iz ugovora </w:t>
      </w:r>
      <w:r>
        <w:rPr>
          <w:rFonts w:ascii="Arial" w:hAnsi="Arial" w:cs="Arial"/>
          <w:sz w:val="18"/>
          <w:szCs w:val="18"/>
          <w:lang w:val="hr-HR"/>
        </w:rPr>
        <w:t>na izgradnji</w:t>
      </w:r>
      <w:r w:rsidR="00C15C8F">
        <w:rPr>
          <w:rFonts w:ascii="Arial" w:hAnsi="Arial" w:cs="Arial"/>
          <w:sz w:val="18"/>
          <w:szCs w:val="18"/>
          <w:lang w:val="hr-HR"/>
        </w:rPr>
        <w:t xml:space="preserve"> Zagreb Deep Sea</w:t>
      </w:r>
      <w:r>
        <w:rPr>
          <w:rFonts w:ascii="Arial" w:hAnsi="Arial" w:cs="Arial"/>
          <w:sz w:val="18"/>
          <w:szCs w:val="18"/>
          <w:lang w:val="hr-HR"/>
        </w:rPr>
        <w:t xml:space="preserve"> kontejnerskog te</w:t>
      </w:r>
      <w:r w:rsidR="00C15C8F">
        <w:rPr>
          <w:rFonts w:ascii="Arial" w:hAnsi="Arial" w:cs="Arial"/>
          <w:sz w:val="18"/>
          <w:szCs w:val="18"/>
          <w:lang w:val="hr-HR"/>
        </w:rPr>
        <w:t xml:space="preserve">rminala </w:t>
      </w:r>
      <w:r w:rsidR="002067C4">
        <w:rPr>
          <w:rFonts w:ascii="Arial" w:hAnsi="Arial" w:cs="Arial"/>
          <w:sz w:val="18"/>
          <w:szCs w:val="18"/>
          <w:lang w:val="hr-HR"/>
        </w:rPr>
        <w:t xml:space="preserve">za troškove zastupanja od strane odvjetnika u sudskim postupcima, a zbog obustave plaćanja izvođača radova prema isporučiteljima materijala. </w:t>
      </w:r>
      <w:r>
        <w:rPr>
          <w:rFonts w:ascii="Arial" w:hAnsi="Arial" w:cs="Arial"/>
          <w:sz w:val="18"/>
          <w:szCs w:val="18"/>
          <w:lang w:val="hr-HR"/>
        </w:rPr>
        <w:t xml:space="preserve"> </w:t>
      </w:r>
    </w:p>
    <w:p w:rsidR="00D87658" w:rsidRDefault="00D87658" w:rsidP="00312A68">
      <w:pPr>
        <w:autoSpaceDE w:val="0"/>
        <w:autoSpaceDN w:val="0"/>
        <w:adjustRightInd w:val="0"/>
        <w:ind w:left="720"/>
        <w:rPr>
          <w:rFonts w:ascii="Arial" w:hAnsi="Arial" w:cs="Arial"/>
          <w:sz w:val="18"/>
          <w:szCs w:val="18"/>
          <w:lang w:val="hr-HR"/>
        </w:rPr>
      </w:pPr>
    </w:p>
    <w:p w:rsidR="00D86331" w:rsidRDefault="00D86331" w:rsidP="00312A68">
      <w:pPr>
        <w:autoSpaceDE w:val="0"/>
        <w:autoSpaceDN w:val="0"/>
        <w:adjustRightInd w:val="0"/>
        <w:ind w:left="720"/>
        <w:rPr>
          <w:rFonts w:ascii="Arial" w:hAnsi="Arial" w:cs="Arial"/>
          <w:sz w:val="18"/>
          <w:szCs w:val="18"/>
          <w:lang w:val="hr-HR"/>
        </w:rPr>
      </w:pPr>
    </w:p>
    <w:p w:rsidR="00247E25" w:rsidRDefault="00247E25" w:rsidP="00247E25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sz w:val="18"/>
          <w:szCs w:val="18"/>
          <w:lang w:val="hr-HR"/>
        </w:rPr>
      </w:pPr>
      <w:r w:rsidRPr="00247E25">
        <w:rPr>
          <w:rFonts w:ascii="Arial" w:hAnsi="Arial" w:cs="Arial"/>
          <w:sz w:val="18"/>
          <w:szCs w:val="18"/>
          <w:lang w:val="hr-HR"/>
        </w:rPr>
        <w:t>BILJEŠKA</w:t>
      </w:r>
      <w:r w:rsidR="007366D4">
        <w:rPr>
          <w:rFonts w:ascii="Arial" w:hAnsi="Arial" w:cs="Arial"/>
          <w:sz w:val="18"/>
          <w:szCs w:val="18"/>
          <w:lang w:val="hr-HR"/>
        </w:rPr>
        <w:t xml:space="preserve"> 9</w:t>
      </w:r>
    </w:p>
    <w:p w:rsidR="00247E25" w:rsidRDefault="00247E25" w:rsidP="00247E25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sz w:val="18"/>
          <w:szCs w:val="18"/>
          <w:lang w:val="hr-HR"/>
        </w:rPr>
      </w:pPr>
    </w:p>
    <w:p w:rsidR="00247E25" w:rsidRDefault="00C43B4E" w:rsidP="00B7285F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R</w:t>
      </w:r>
      <w:r w:rsidR="00247E25">
        <w:rPr>
          <w:rFonts w:ascii="Arial" w:hAnsi="Arial" w:cs="Arial"/>
          <w:sz w:val="18"/>
          <w:szCs w:val="18"/>
          <w:lang w:val="hr-HR"/>
        </w:rPr>
        <w:t xml:space="preserve">ashodi poslovanja </w:t>
      </w:r>
      <w:r>
        <w:rPr>
          <w:rFonts w:ascii="Arial" w:hAnsi="Arial" w:cs="Arial"/>
          <w:sz w:val="18"/>
          <w:szCs w:val="18"/>
          <w:lang w:val="hr-HR"/>
        </w:rPr>
        <w:t>u ukupnom iznosu od 107.</w:t>
      </w:r>
      <w:r w:rsidR="00184334">
        <w:rPr>
          <w:rFonts w:ascii="Arial" w:hAnsi="Arial" w:cs="Arial"/>
          <w:sz w:val="18"/>
          <w:szCs w:val="18"/>
          <w:lang w:val="hr-HR"/>
        </w:rPr>
        <w:t xml:space="preserve">375.332,29 kn </w:t>
      </w:r>
      <w:r w:rsidR="00247E25">
        <w:rPr>
          <w:rFonts w:ascii="Arial" w:hAnsi="Arial" w:cs="Arial"/>
          <w:sz w:val="18"/>
          <w:szCs w:val="18"/>
          <w:lang w:val="hr-HR"/>
        </w:rPr>
        <w:t>obuhvaćaju:</w:t>
      </w:r>
    </w:p>
    <w:p w:rsidR="00247E25" w:rsidRDefault="00247E25" w:rsidP="00247E25">
      <w:pPr>
        <w:autoSpaceDE w:val="0"/>
        <w:autoSpaceDN w:val="0"/>
        <w:adjustRightInd w:val="0"/>
        <w:ind w:left="720"/>
        <w:rPr>
          <w:rFonts w:ascii="Arial" w:hAnsi="Arial" w:cs="Arial"/>
          <w:sz w:val="18"/>
          <w:szCs w:val="18"/>
          <w:lang w:val="hr-HR"/>
        </w:rPr>
      </w:pPr>
    </w:p>
    <w:p w:rsidR="00247E25" w:rsidRDefault="00247E25" w:rsidP="00247E2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Rashode za zaposlene u iznosu od </w:t>
      </w:r>
      <w:r>
        <w:rPr>
          <w:rFonts w:ascii="Arial" w:hAnsi="Arial" w:cs="Arial"/>
          <w:sz w:val="18"/>
          <w:szCs w:val="18"/>
          <w:lang w:val="hr-HR"/>
        </w:rPr>
        <w:tab/>
      </w:r>
      <w:r>
        <w:rPr>
          <w:rFonts w:ascii="Arial" w:hAnsi="Arial" w:cs="Arial"/>
          <w:sz w:val="18"/>
          <w:szCs w:val="18"/>
          <w:lang w:val="hr-HR"/>
        </w:rPr>
        <w:tab/>
      </w:r>
      <w:r>
        <w:rPr>
          <w:rFonts w:ascii="Arial" w:hAnsi="Arial" w:cs="Arial"/>
          <w:sz w:val="18"/>
          <w:szCs w:val="18"/>
          <w:lang w:val="hr-HR"/>
        </w:rPr>
        <w:tab/>
        <w:t>10.845.802,39 kn</w:t>
      </w:r>
    </w:p>
    <w:p w:rsidR="00247E25" w:rsidRDefault="00247E25" w:rsidP="00247E2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Materijalne rashode u iznosu od</w:t>
      </w:r>
      <w:r>
        <w:rPr>
          <w:rFonts w:ascii="Arial" w:hAnsi="Arial" w:cs="Arial"/>
          <w:sz w:val="18"/>
          <w:szCs w:val="18"/>
          <w:lang w:val="hr-HR"/>
        </w:rPr>
        <w:tab/>
      </w:r>
      <w:r>
        <w:rPr>
          <w:rFonts w:ascii="Arial" w:hAnsi="Arial" w:cs="Arial"/>
          <w:sz w:val="18"/>
          <w:szCs w:val="18"/>
          <w:lang w:val="hr-HR"/>
        </w:rPr>
        <w:tab/>
      </w:r>
      <w:r>
        <w:rPr>
          <w:rFonts w:ascii="Arial" w:hAnsi="Arial" w:cs="Arial"/>
          <w:sz w:val="18"/>
          <w:szCs w:val="18"/>
          <w:lang w:val="hr-HR"/>
        </w:rPr>
        <w:tab/>
        <w:t>33.847.751,86 kn</w:t>
      </w:r>
    </w:p>
    <w:p w:rsidR="00247E25" w:rsidRDefault="00247E25" w:rsidP="00247E2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Financijske rashode u iznosu od </w:t>
      </w:r>
      <w:r>
        <w:rPr>
          <w:rFonts w:ascii="Arial" w:hAnsi="Arial" w:cs="Arial"/>
          <w:sz w:val="18"/>
          <w:szCs w:val="18"/>
          <w:lang w:val="hr-HR"/>
        </w:rPr>
        <w:tab/>
      </w:r>
      <w:r>
        <w:rPr>
          <w:rFonts w:ascii="Arial" w:hAnsi="Arial" w:cs="Arial"/>
          <w:sz w:val="18"/>
          <w:szCs w:val="18"/>
          <w:lang w:val="hr-HR"/>
        </w:rPr>
        <w:tab/>
      </w:r>
      <w:r>
        <w:rPr>
          <w:rFonts w:ascii="Arial" w:hAnsi="Arial" w:cs="Arial"/>
          <w:sz w:val="18"/>
          <w:szCs w:val="18"/>
          <w:lang w:val="hr-HR"/>
        </w:rPr>
        <w:tab/>
        <w:t xml:space="preserve">  3.388.126,01 kn</w:t>
      </w:r>
    </w:p>
    <w:p w:rsidR="00247E25" w:rsidRDefault="00247E25" w:rsidP="00247E2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Pomoći dane u inoz</w:t>
      </w:r>
      <w:r w:rsidR="00D2537D">
        <w:rPr>
          <w:rFonts w:ascii="Arial" w:hAnsi="Arial" w:cs="Arial"/>
          <w:sz w:val="18"/>
          <w:szCs w:val="18"/>
          <w:lang w:val="hr-HR"/>
        </w:rPr>
        <w:t>.</w:t>
      </w:r>
      <w:r>
        <w:rPr>
          <w:rFonts w:ascii="Arial" w:hAnsi="Arial" w:cs="Arial"/>
          <w:sz w:val="18"/>
          <w:szCs w:val="18"/>
          <w:lang w:val="hr-HR"/>
        </w:rPr>
        <w:t xml:space="preserve"> i unutar </w:t>
      </w:r>
      <w:r w:rsidR="00D2537D">
        <w:rPr>
          <w:rFonts w:ascii="Arial" w:hAnsi="Arial" w:cs="Arial"/>
          <w:sz w:val="18"/>
          <w:szCs w:val="18"/>
          <w:lang w:val="hr-HR"/>
        </w:rPr>
        <w:t xml:space="preserve">općeg proračuna od </w:t>
      </w:r>
      <w:r w:rsidR="00D2537D">
        <w:rPr>
          <w:rFonts w:ascii="Arial" w:hAnsi="Arial" w:cs="Arial"/>
          <w:sz w:val="18"/>
          <w:szCs w:val="18"/>
          <w:lang w:val="hr-HR"/>
        </w:rPr>
        <w:tab/>
        <w:t>29.728.047,02 kn</w:t>
      </w:r>
    </w:p>
    <w:p w:rsidR="00D2537D" w:rsidRPr="00247E25" w:rsidRDefault="00D2537D" w:rsidP="00247E2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Kapitalne pomoći iz EU sredstva u iznosu od </w:t>
      </w:r>
      <w:r>
        <w:rPr>
          <w:rFonts w:ascii="Arial" w:hAnsi="Arial" w:cs="Arial"/>
          <w:sz w:val="18"/>
          <w:szCs w:val="18"/>
          <w:lang w:val="hr-HR"/>
        </w:rPr>
        <w:tab/>
      </w:r>
      <w:r>
        <w:rPr>
          <w:rFonts w:ascii="Arial" w:hAnsi="Arial" w:cs="Arial"/>
          <w:sz w:val="18"/>
          <w:szCs w:val="18"/>
          <w:lang w:val="hr-HR"/>
        </w:rPr>
        <w:tab/>
        <w:t>29.565.605,01 kn.</w:t>
      </w:r>
    </w:p>
    <w:p w:rsidR="00D87658" w:rsidRDefault="00D87658" w:rsidP="00312A68">
      <w:pPr>
        <w:autoSpaceDE w:val="0"/>
        <w:autoSpaceDN w:val="0"/>
        <w:adjustRightInd w:val="0"/>
        <w:ind w:left="720"/>
        <w:rPr>
          <w:rFonts w:ascii="Arial" w:hAnsi="Arial" w:cs="Arial"/>
          <w:sz w:val="18"/>
          <w:szCs w:val="18"/>
          <w:lang w:val="hr-HR"/>
        </w:rPr>
      </w:pPr>
    </w:p>
    <w:p w:rsidR="00F561C7" w:rsidRDefault="00323E6F" w:rsidP="00E1273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Kapitalne pomoći izvanproračunskim korisnicima državnog proračuna temeljem prijenosa EU sredstava u iznosu od 29.728.047,02 kn odnose se na prijenos sredstava u korist partnera (HŽI) u CEF projektu </w:t>
      </w:r>
      <w:r w:rsidR="00F561C7">
        <w:rPr>
          <w:rFonts w:ascii="Arial" w:hAnsi="Arial" w:cs="Arial"/>
          <w:sz w:val="18"/>
          <w:szCs w:val="18"/>
          <w:lang w:val="hr-HR"/>
        </w:rPr>
        <w:t>unapređenja infrastrukture na kontejnerskom terminalu Zagrebačka obala.</w:t>
      </w:r>
    </w:p>
    <w:p w:rsidR="00F561C7" w:rsidRDefault="00F561C7" w:rsidP="00E1273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18"/>
          <w:szCs w:val="18"/>
          <w:lang w:val="hr-HR"/>
        </w:rPr>
      </w:pPr>
    </w:p>
    <w:p w:rsidR="00F561C7" w:rsidRDefault="00F561C7" w:rsidP="00E1273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Kapitalne pomoći subjektima izvan javnog sektora u iznosu od 29.565.605,01 kn odnose se na prijenos sredstava u korist partnera (L</w:t>
      </w:r>
      <w:r w:rsidR="0069072E">
        <w:rPr>
          <w:rFonts w:ascii="Arial" w:hAnsi="Arial" w:cs="Arial"/>
          <w:sz w:val="18"/>
          <w:szCs w:val="18"/>
          <w:lang w:val="hr-HR"/>
        </w:rPr>
        <w:t>uka</w:t>
      </w:r>
      <w:r>
        <w:rPr>
          <w:rFonts w:ascii="Arial" w:hAnsi="Arial" w:cs="Arial"/>
          <w:sz w:val="18"/>
          <w:szCs w:val="18"/>
          <w:lang w:val="hr-HR"/>
        </w:rPr>
        <w:t xml:space="preserve"> R</w:t>
      </w:r>
      <w:r w:rsidR="0069072E">
        <w:rPr>
          <w:rFonts w:ascii="Arial" w:hAnsi="Arial" w:cs="Arial"/>
          <w:sz w:val="18"/>
          <w:szCs w:val="18"/>
          <w:lang w:val="hr-HR"/>
        </w:rPr>
        <w:t>ijeka</w:t>
      </w:r>
      <w:r>
        <w:rPr>
          <w:rFonts w:ascii="Arial" w:hAnsi="Arial" w:cs="Arial"/>
          <w:sz w:val="18"/>
          <w:szCs w:val="18"/>
          <w:lang w:val="hr-HR"/>
        </w:rPr>
        <w:t xml:space="preserve"> d.d.) u CEF projektima unapređenja infrastrukture luke Rijeka na terminalu u Bakru i u Bazenu Rijeka.</w:t>
      </w:r>
    </w:p>
    <w:p w:rsidR="00F561C7" w:rsidRDefault="00F561C7" w:rsidP="00E1273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18"/>
          <w:szCs w:val="18"/>
          <w:lang w:val="hr-HR"/>
        </w:rPr>
      </w:pPr>
    </w:p>
    <w:p w:rsidR="00323E6F" w:rsidRDefault="00323E6F" w:rsidP="00E1273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18"/>
          <w:szCs w:val="18"/>
          <w:lang w:val="hr-HR"/>
        </w:rPr>
      </w:pPr>
    </w:p>
    <w:p w:rsidR="007651DB" w:rsidRDefault="007651DB" w:rsidP="00E1273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 w:eastAsia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Rashodi za nabavu nefinancijske imovine u ukupnom iznosu od </w:t>
      </w:r>
      <w:r>
        <w:rPr>
          <w:rFonts w:ascii="Arial" w:hAnsi="Arial" w:cs="Arial"/>
          <w:sz w:val="18"/>
          <w:szCs w:val="18"/>
          <w:lang w:val="hr-HR" w:eastAsia="hr-HR"/>
        </w:rPr>
        <w:t>149.577.408,53 kn obuhvaćaju:</w:t>
      </w:r>
    </w:p>
    <w:p w:rsidR="00664B9E" w:rsidRDefault="00664B9E" w:rsidP="00E1273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18"/>
          <w:szCs w:val="18"/>
          <w:lang w:val="hr-HR" w:eastAsia="hr-HR"/>
        </w:rPr>
      </w:pPr>
    </w:p>
    <w:p w:rsidR="00B61759" w:rsidRDefault="00B61759" w:rsidP="00E1273E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 w:eastAsia="hr-HR"/>
        </w:rPr>
      </w:pPr>
      <w:r>
        <w:rPr>
          <w:rFonts w:ascii="Arial" w:hAnsi="Arial" w:cs="Arial"/>
          <w:sz w:val="18"/>
          <w:szCs w:val="18"/>
          <w:lang w:val="hr-HR" w:eastAsia="hr-HR"/>
        </w:rPr>
        <w:t>Rashode za nabavu neproizv</w:t>
      </w:r>
      <w:r w:rsidR="00664B9E">
        <w:rPr>
          <w:rFonts w:ascii="Arial" w:hAnsi="Arial" w:cs="Arial"/>
          <w:sz w:val="18"/>
          <w:szCs w:val="18"/>
          <w:lang w:val="hr-HR" w:eastAsia="hr-HR"/>
        </w:rPr>
        <w:t xml:space="preserve">edene </w:t>
      </w:r>
      <w:r>
        <w:rPr>
          <w:rFonts w:ascii="Arial" w:hAnsi="Arial" w:cs="Arial"/>
          <w:sz w:val="18"/>
          <w:szCs w:val="18"/>
          <w:lang w:val="hr-HR" w:eastAsia="hr-HR"/>
        </w:rPr>
        <w:t xml:space="preserve">dugotrajne imovine </w:t>
      </w:r>
      <w:r w:rsidR="00664B9E">
        <w:rPr>
          <w:rFonts w:ascii="Arial" w:hAnsi="Arial" w:cs="Arial"/>
          <w:sz w:val="18"/>
          <w:szCs w:val="18"/>
          <w:lang w:val="hr-HR" w:eastAsia="hr-HR"/>
        </w:rPr>
        <w:t xml:space="preserve">u iznosu od </w:t>
      </w:r>
      <w:r w:rsidR="00664B9E">
        <w:rPr>
          <w:rFonts w:ascii="Arial" w:hAnsi="Arial" w:cs="Arial"/>
          <w:sz w:val="18"/>
          <w:szCs w:val="18"/>
          <w:lang w:val="hr-HR" w:eastAsia="hr-HR"/>
        </w:rPr>
        <w:tab/>
        <w:t>167.263,75 kn</w:t>
      </w:r>
    </w:p>
    <w:p w:rsidR="00664B9E" w:rsidRDefault="00664B9E" w:rsidP="00E1273E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 w:eastAsia="hr-HR"/>
        </w:rPr>
      </w:pPr>
      <w:r>
        <w:rPr>
          <w:rFonts w:ascii="Arial" w:hAnsi="Arial" w:cs="Arial"/>
          <w:sz w:val="18"/>
          <w:szCs w:val="18"/>
          <w:lang w:val="hr-HR" w:eastAsia="hr-HR"/>
        </w:rPr>
        <w:t>Rashode za nabavu proizvedene dugotrajne imovine u iznosu od     147.546.296,50 kn</w:t>
      </w:r>
    </w:p>
    <w:p w:rsidR="00664B9E" w:rsidRDefault="00664B9E" w:rsidP="00E1273E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 w:eastAsia="hr-HR"/>
        </w:rPr>
      </w:pPr>
      <w:r>
        <w:rPr>
          <w:rFonts w:ascii="Arial" w:hAnsi="Arial" w:cs="Arial"/>
          <w:sz w:val="18"/>
          <w:szCs w:val="18"/>
          <w:lang w:val="hr-HR" w:eastAsia="hr-HR"/>
        </w:rPr>
        <w:t xml:space="preserve">Rashode za dodatna ulaganja na nefinancijskoj imovini od </w:t>
      </w:r>
      <w:r>
        <w:rPr>
          <w:rFonts w:ascii="Arial" w:hAnsi="Arial" w:cs="Arial"/>
          <w:sz w:val="18"/>
          <w:szCs w:val="18"/>
          <w:lang w:val="hr-HR" w:eastAsia="hr-HR"/>
        </w:rPr>
        <w:tab/>
        <w:t xml:space="preserve">           1.863.848,28 kn</w:t>
      </w:r>
      <w:r w:rsidR="00B11C72">
        <w:rPr>
          <w:rFonts w:ascii="Arial" w:hAnsi="Arial" w:cs="Arial"/>
          <w:sz w:val="18"/>
          <w:szCs w:val="18"/>
          <w:lang w:val="hr-HR" w:eastAsia="hr-HR"/>
        </w:rPr>
        <w:t>.</w:t>
      </w:r>
    </w:p>
    <w:p w:rsidR="00B11C72" w:rsidRDefault="003F28CF" w:rsidP="00E1273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 w:eastAsia="hr-HR"/>
        </w:rPr>
      </w:pPr>
      <w:r>
        <w:rPr>
          <w:rFonts w:ascii="Arial" w:hAnsi="Arial" w:cs="Arial"/>
          <w:sz w:val="18"/>
          <w:szCs w:val="18"/>
          <w:lang w:val="hr-HR" w:eastAsia="hr-HR"/>
        </w:rPr>
        <w:t xml:space="preserve"> </w:t>
      </w:r>
      <w:r>
        <w:rPr>
          <w:rFonts w:ascii="Arial" w:hAnsi="Arial" w:cs="Arial"/>
          <w:sz w:val="18"/>
          <w:szCs w:val="18"/>
          <w:lang w:val="hr-HR" w:eastAsia="hr-HR"/>
        </w:rPr>
        <w:tab/>
      </w:r>
    </w:p>
    <w:p w:rsidR="000919A2" w:rsidRDefault="000919A2" w:rsidP="00E1273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 w:eastAsia="hr-HR"/>
        </w:rPr>
      </w:pPr>
    </w:p>
    <w:p w:rsidR="003F28CF" w:rsidRDefault="003F28CF" w:rsidP="00E1273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 w:eastAsia="hr-HR"/>
        </w:rPr>
      </w:pPr>
      <w:r>
        <w:rPr>
          <w:rFonts w:ascii="Arial" w:hAnsi="Arial" w:cs="Arial"/>
          <w:sz w:val="18"/>
          <w:szCs w:val="18"/>
          <w:lang w:val="hr-HR" w:eastAsia="hr-HR"/>
        </w:rPr>
        <w:t>Rashodi za nabavu proizvedene dugotrajne imovine u ukupnom iznosu od 147.546.296,50 kn uključuju:</w:t>
      </w:r>
    </w:p>
    <w:p w:rsidR="003F28CF" w:rsidRDefault="003F28CF" w:rsidP="00E1273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18"/>
          <w:szCs w:val="18"/>
          <w:lang w:val="hr-HR" w:eastAsia="hr-HR"/>
        </w:rPr>
      </w:pPr>
    </w:p>
    <w:p w:rsidR="003F28CF" w:rsidRDefault="003F28CF" w:rsidP="00E1273E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 w:eastAsia="hr-HR"/>
        </w:rPr>
      </w:pPr>
      <w:r>
        <w:rPr>
          <w:rFonts w:ascii="Arial" w:hAnsi="Arial" w:cs="Arial"/>
          <w:sz w:val="18"/>
          <w:szCs w:val="18"/>
          <w:lang w:val="hr-HR" w:eastAsia="hr-HR"/>
        </w:rPr>
        <w:t>Građevinske objekte (kanale i luke, željeznice, ceste i ost.) u iznosu od 140.294.032,82 kn</w:t>
      </w:r>
    </w:p>
    <w:p w:rsidR="003F28CF" w:rsidRDefault="003F28CF" w:rsidP="00E1273E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 w:eastAsia="hr-HR"/>
        </w:rPr>
      </w:pPr>
      <w:r>
        <w:rPr>
          <w:rFonts w:ascii="Arial" w:hAnsi="Arial" w:cs="Arial"/>
          <w:sz w:val="18"/>
          <w:szCs w:val="18"/>
          <w:lang w:val="hr-HR" w:eastAsia="hr-HR"/>
        </w:rPr>
        <w:t xml:space="preserve">Postojenja i opremu u iznosu od </w:t>
      </w:r>
      <w:r>
        <w:rPr>
          <w:rFonts w:ascii="Arial" w:hAnsi="Arial" w:cs="Arial"/>
          <w:sz w:val="18"/>
          <w:szCs w:val="18"/>
          <w:lang w:val="hr-HR" w:eastAsia="hr-HR"/>
        </w:rPr>
        <w:tab/>
      </w:r>
      <w:r>
        <w:rPr>
          <w:rFonts w:ascii="Arial" w:hAnsi="Arial" w:cs="Arial"/>
          <w:sz w:val="18"/>
          <w:szCs w:val="18"/>
          <w:lang w:val="hr-HR" w:eastAsia="hr-HR"/>
        </w:rPr>
        <w:tab/>
      </w:r>
      <w:r>
        <w:rPr>
          <w:rFonts w:ascii="Arial" w:hAnsi="Arial" w:cs="Arial"/>
          <w:sz w:val="18"/>
          <w:szCs w:val="18"/>
          <w:lang w:val="hr-HR" w:eastAsia="hr-HR"/>
        </w:rPr>
        <w:tab/>
      </w:r>
      <w:r>
        <w:rPr>
          <w:rFonts w:ascii="Arial" w:hAnsi="Arial" w:cs="Arial"/>
          <w:sz w:val="18"/>
          <w:szCs w:val="18"/>
          <w:lang w:val="hr-HR" w:eastAsia="hr-HR"/>
        </w:rPr>
        <w:tab/>
      </w:r>
      <w:r>
        <w:rPr>
          <w:rFonts w:ascii="Arial" w:hAnsi="Arial" w:cs="Arial"/>
          <w:sz w:val="18"/>
          <w:szCs w:val="18"/>
          <w:lang w:val="hr-HR" w:eastAsia="hr-HR"/>
        </w:rPr>
        <w:tab/>
        <w:t xml:space="preserve">  2.718.888,22 kn</w:t>
      </w:r>
    </w:p>
    <w:p w:rsidR="003F28CF" w:rsidRDefault="003F28CF" w:rsidP="00E1273E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 w:eastAsia="hr-HR"/>
        </w:rPr>
      </w:pPr>
      <w:r>
        <w:rPr>
          <w:rFonts w:ascii="Arial" w:hAnsi="Arial" w:cs="Arial"/>
          <w:sz w:val="18"/>
          <w:szCs w:val="18"/>
          <w:lang w:val="hr-HR" w:eastAsia="hr-HR"/>
        </w:rPr>
        <w:t xml:space="preserve">Nematerijalnu proizvedenu imovinu (računalni programi) u iznosu od </w:t>
      </w:r>
      <w:r>
        <w:rPr>
          <w:rFonts w:ascii="Arial" w:hAnsi="Arial" w:cs="Arial"/>
          <w:sz w:val="18"/>
          <w:szCs w:val="18"/>
          <w:lang w:val="hr-HR" w:eastAsia="hr-HR"/>
        </w:rPr>
        <w:tab/>
        <w:t xml:space="preserve">  4.533.375,46 kn.</w:t>
      </w:r>
    </w:p>
    <w:p w:rsidR="003F28CF" w:rsidRPr="003F28CF" w:rsidRDefault="003F28CF" w:rsidP="003F28CF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hr-HR" w:eastAsia="hr-HR"/>
        </w:rPr>
      </w:pPr>
    </w:p>
    <w:p w:rsidR="00080468" w:rsidRDefault="00080468" w:rsidP="00525D15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sz w:val="18"/>
          <w:szCs w:val="18"/>
          <w:lang w:val="hr-HR"/>
        </w:rPr>
      </w:pPr>
    </w:p>
    <w:p w:rsidR="007651DB" w:rsidRDefault="00525D15" w:rsidP="00525D15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BILJEŠKA</w:t>
      </w:r>
      <w:r w:rsidR="00FD50CD">
        <w:rPr>
          <w:rFonts w:ascii="Arial" w:hAnsi="Arial" w:cs="Arial"/>
          <w:sz w:val="18"/>
          <w:szCs w:val="18"/>
          <w:lang w:val="hr-HR"/>
        </w:rPr>
        <w:t xml:space="preserve"> </w:t>
      </w:r>
      <w:r w:rsidR="000919A2">
        <w:rPr>
          <w:rFonts w:ascii="Arial" w:hAnsi="Arial" w:cs="Arial"/>
          <w:sz w:val="18"/>
          <w:szCs w:val="18"/>
          <w:lang w:val="hr-HR"/>
        </w:rPr>
        <w:t>10</w:t>
      </w:r>
    </w:p>
    <w:p w:rsidR="00FD50CD" w:rsidRDefault="00FD50CD" w:rsidP="00525D15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sz w:val="18"/>
          <w:szCs w:val="18"/>
          <w:lang w:val="hr-HR"/>
        </w:rPr>
      </w:pPr>
    </w:p>
    <w:p w:rsidR="00A0489B" w:rsidRDefault="00FD50CD" w:rsidP="00525D15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sz w:val="18"/>
          <w:szCs w:val="18"/>
          <w:lang w:val="hr-HR"/>
        </w:rPr>
      </w:pPr>
      <w:r w:rsidRPr="00FD50CD">
        <w:rPr>
          <w:rFonts w:ascii="Arial" w:hAnsi="Arial" w:cs="Arial"/>
          <w:b/>
          <w:sz w:val="18"/>
          <w:szCs w:val="18"/>
          <w:lang w:val="hr-HR"/>
        </w:rPr>
        <w:t>Planski okvir</w:t>
      </w:r>
    </w:p>
    <w:p w:rsidR="00A0489B" w:rsidRDefault="00A0489B" w:rsidP="00525D15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:rsidR="00FD50CD" w:rsidRDefault="00FD50CD" w:rsidP="00FD50C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hr-HR"/>
        </w:rPr>
      </w:pPr>
      <w:r w:rsidRPr="00FD50CD">
        <w:rPr>
          <w:rFonts w:ascii="Arial" w:hAnsi="Arial" w:cs="Arial"/>
          <w:sz w:val="18"/>
          <w:szCs w:val="18"/>
          <w:lang w:val="hr-HR"/>
        </w:rPr>
        <w:t>Državni proračun</w:t>
      </w:r>
      <w:r>
        <w:rPr>
          <w:rFonts w:ascii="Arial" w:hAnsi="Arial" w:cs="Arial"/>
          <w:sz w:val="18"/>
          <w:szCs w:val="18"/>
          <w:lang w:val="hr-HR"/>
        </w:rPr>
        <w:t xml:space="preserve"> Republike Hrvatske za 2021.godinu i projekcije za 2022. i 2023.godinu (Narodne novine br.135/20; 69/21; 122/21.)</w:t>
      </w:r>
    </w:p>
    <w:p w:rsidR="006E7DA3" w:rsidRDefault="006E7DA3" w:rsidP="006E7DA3">
      <w:pPr>
        <w:pStyle w:val="ListParagraph"/>
        <w:autoSpaceDE w:val="0"/>
        <w:autoSpaceDN w:val="0"/>
        <w:adjustRightInd w:val="0"/>
        <w:ind w:left="1428"/>
        <w:rPr>
          <w:rFonts w:ascii="Arial" w:hAnsi="Arial" w:cs="Arial"/>
          <w:sz w:val="18"/>
          <w:szCs w:val="18"/>
          <w:lang w:val="hr-HR"/>
        </w:rPr>
      </w:pPr>
    </w:p>
    <w:p w:rsidR="006E7DA3" w:rsidRPr="006E7DA3" w:rsidRDefault="006E7DA3" w:rsidP="00DA792B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hr-HR"/>
        </w:rPr>
      </w:pPr>
      <w:r w:rsidRPr="006E7DA3">
        <w:rPr>
          <w:rFonts w:ascii="Arial" w:hAnsi="Arial" w:cs="Arial"/>
          <w:sz w:val="18"/>
          <w:szCs w:val="18"/>
          <w:lang w:val="hr-HR"/>
        </w:rPr>
        <w:t>Financijski plan Lučke uprave Rijeka za 2021.godinu</w:t>
      </w:r>
      <w:r w:rsidR="00703497">
        <w:rPr>
          <w:rFonts w:ascii="Arial" w:hAnsi="Arial" w:cs="Arial"/>
          <w:sz w:val="18"/>
          <w:szCs w:val="18"/>
          <w:lang w:val="hr-HR"/>
        </w:rPr>
        <w:t xml:space="preserve"> donijet je sukladno Odlukama Upravnog vijeća kako slijedi</w:t>
      </w:r>
      <w:r w:rsidRPr="006E7DA3">
        <w:rPr>
          <w:rFonts w:ascii="Arial" w:hAnsi="Arial" w:cs="Arial"/>
          <w:sz w:val="18"/>
          <w:szCs w:val="18"/>
          <w:lang w:val="hr-HR"/>
        </w:rPr>
        <w:t>:</w:t>
      </w:r>
    </w:p>
    <w:p w:rsidR="006E7DA3" w:rsidRDefault="006E7DA3" w:rsidP="006E7DA3">
      <w:pPr>
        <w:pStyle w:val="ListParagraph"/>
        <w:autoSpaceDE w:val="0"/>
        <w:autoSpaceDN w:val="0"/>
        <w:adjustRightInd w:val="0"/>
        <w:ind w:left="1428"/>
        <w:rPr>
          <w:rFonts w:ascii="Arial" w:hAnsi="Arial" w:cs="Arial"/>
          <w:sz w:val="18"/>
          <w:szCs w:val="18"/>
          <w:lang w:val="hr-HR"/>
        </w:rPr>
      </w:pPr>
    </w:p>
    <w:p w:rsidR="0029797B" w:rsidRDefault="0029797B" w:rsidP="006E7DA3">
      <w:pPr>
        <w:pStyle w:val="ListParagraph"/>
        <w:numPr>
          <w:ilvl w:val="1"/>
          <w:numId w:val="5"/>
        </w:numPr>
        <w:spacing w:after="160" w:line="252" w:lineRule="auto"/>
        <w:jc w:val="both"/>
        <w:rPr>
          <w:rFonts w:ascii="Arial" w:hAnsi="Arial" w:cs="Arial"/>
          <w:bCs/>
          <w:sz w:val="18"/>
          <w:szCs w:val="18"/>
          <w:lang w:val="hr-HR" w:eastAsia="en-US"/>
        </w:rPr>
      </w:pPr>
      <w:r w:rsidRPr="0029797B">
        <w:rPr>
          <w:rFonts w:ascii="Arial" w:hAnsi="Arial" w:cs="Arial"/>
          <w:bCs/>
          <w:sz w:val="18"/>
          <w:szCs w:val="18"/>
          <w:lang w:val="hr-HR" w:eastAsia="en-US"/>
        </w:rPr>
        <w:t xml:space="preserve">Upravno vijeće Lučke uprave Rijeka na svojoj 158. sjednici, održanoj 30. prosinca 2020. godine donijelo je Godišnji program rada i Financijski plan Lučke uprave Rijeka za 2021. godinu s projekcijama za 2022. i 2023. godinu. </w:t>
      </w:r>
    </w:p>
    <w:p w:rsidR="0029797B" w:rsidRPr="000058CF" w:rsidRDefault="0029797B" w:rsidP="006E7DA3">
      <w:pPr>
        <w:pStyle w:val="ListParagraph"/>
        <w:numPr>
          <w:ilvl w:val="1"/>
          <w:numId w:val="5"/>
        </w:numPr>
        <w:spacing w:after="160" w:line="252" w:lineRule="auto"/>
        <w:jc w:val="both"/>
        <w:rPr>
          <w:rFonts w:ascii="Calibri" w:hAnsi="Calibri" w:cs="Calibri"/>
          <w:sz w:val="22"/>
          <w:szCs w:val="22"/>
          <w:lang w:val="hr-HR" w:eastAsia="en-US"/>
        </w:rPr>
      </w:pPr>
      <w:r w:rsidRPr="0029797B">
        <w:rPr>
          <w:rFonts w:ascii="Arial" w:hAnsi="Arial" w:cs="Arial"/>
          <w:bCs/>
          <w:sz w:val="18"/>
          <w:szCs w:val="18"/>
          <w:lang w:val="hr-HR" w:eastAsia="en-US"/>
        </w:rPr>
        <w:t xml:space="preserve">Upravno vijeće Lučke uprave Rijeka na svojoj 170. sjednici, održanoj 22. prosinca </w:t>
      </w:r>
      <w:r w:rsidRPr="00B3479C">
        <w:rPr>
          <w:rFonts w:ascii="Arial" w:hAnsi="Arial" w:cs="Arial"/>
          <w:bCs/>
          <w:sz w:val="18"/>
          <w:szCs w:val="18"/>
          <w:lang w:val="hr-HR" w:eastAsia="en-US"/>
        </w:rPr>
        <w:t>2021.</w:t>
      </w:r>
      <w:r w:rsidRPr="0029797B">
        <w:rPr>
          <w:rFonts w:ascii="Arial" w:hAnsi="Arial" w:cs="Arial"/>
          <w:bCs/>
          <w:sz w:val="18"/>
          <w:szCs w:val="18"/>
          <w:lang w:val="hr-HR" w:eastAsia="en-US"/>
        </w:rPr>
        <w:t xml:space="preserve"> godine donijelo je I. i II. izmjene i dopune  Financijskog plan</w:t>
      </w:r>
      <w:r w:rsidRPr="006E7DA3">
        <w:rPr>
          <w:rFonts w:ascii="Arial" w:hAnsi="Arial" w:cs="Arial"/>
          <w:bCs/>
          <w:sz w:val="18"/>
          <w:szCs w:val="18"/>
          <w:lang w:val="hr-HR" w:eastAsia="en-US"/>
        </w:rPr>
        <w:t>a</w:t>
      </w:r>
      <w:r w:rsidRPr="0029797B">
        <w:rPr>
          <w:rFonts w:ascii="Arial" w:hAnsi="Arial" w:cs="Arial"/>
          <w:bCs/>
          <w:sz w:val="18"/>
          <w:szCs w:val="18"/>
          <w:lang w:val="hr-HR" w:eastAsia="en-US"/>
        </w:rPr>
        <w:t xml:space="preserve"> Lučke uprave Rijeka za 2021. godinu s projekcijama za 2022. i 2023. godinu.</w:t>
      </w:r>
    </w:p>
    <w:p w:rsidR="000058CF" w:rsidRDefault="000058CF" w:rsidP="000058CF">
      <w:pPr>
        <w:pStyle w:val="ListParagraph"/>
        <w:spacing w:after="160" w:line="252" w:lineRule="auto"/>
        <w:ind w:left="2148"/>
        <w:jc w:val="center"/>
        <w:rPr>
          <w:rFonts w:ascii="Arial" w:hAnsi="Arial" w:cs="Arial"/>
          <w:bCs/>
          <w:sz w:val="18"/>
          <w:szCs w:val="18"/>
          <w:lang w:val="hr-HR" w:eastAsia="en-US"/>
        </w:rPr>
      </w:pPr>
    </w:p>
    <w:p w:rsidR="00BC66C2" w:rsidRDefault="000058CF" w:rsidP="00080468">
      <w:pPr>
        <w:spacing w:after="160" w:line="252" w:lineRule="auto"/>
        <w:jc w:val="center"/>
        <w:rPr>
          <w:rFonts w:ascii="Arial" w:hAnsi="Arial" w:cs="Arial"/>
          <w:sz w:val="18"/>
          <w:szCs w:val="18"/>
          <w:lang w:val="hr-HR"/>
        </w:rPr>
      </w:pPr>
      <w:r w:rsidRPr="000058CF">
        <w:rPr>
          <w:rFonts w:ascii="Arial" w:hAnsi="Arial" w:cs="Arial"/>
          <w:bCs/>
          <w:sz w:val="18"/>
          <w:szCs w:val="18"/>
          <w:lang w:val="hr-HR" w:eastAsia="en-US"/>
        </w:rPr>
        <w:t>BILJEŠKA</w:t>
      </w:r>
      <w:r w:rsidR="000919A2">
        <w:rPr>
          <w:rFonts w:ascii="Arial" w:hAnsi="Arial" w:cs="Arial"/>
          <w:bCs/>
          <w:sz w:val="18"/>
          <w:szCs w:val="18"/>
          <w:lang w:val="hr-HR" w:eastAsia="en-US"/>
        </w:rPr>
        <w:t xml:space="preserve"> 11</w:t>
      </w:r>
    </w:p>
    <w:p w:rsidR="00BC66C2" w:rsidRPr="00BC66C2" w:rsidRDefault="00BC66C2" w:rsidP="00B7285F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U </w:t>
      </w:r>
      <w:r w:rsidR="001B7451">
        <w:rPr>
          <w:rFonts w:ascii="Arial" w:hAnsi="Arial" w:cs="Arial"/>
          <w:sz w:val="18"/>
          <w:szCs w:val="18"/>
          <w:lang w:val="hr-HR"/>
        </w:rPr>
        <w:t xml:space="preserve">odnosu na </w:t>
      </w:r>
      <w:r>
        <w:rPr>
          <w:rFonts w:ascii="Arial" w:hAnsi="Arial" w:cs="Arial"/>
          <w:sz w:val="18"/>
          <w:szCs w:val="18"/>
          <w:lang w:val="hr-HR"/>
        </w:rPr>
        <w:t xml:space="preserve">ukupno planirane rashode za 2021.godinu u nastavku dajemo detaljan pregled ostvarenih rashoda u </w:t>
      </w:r>
      <w:r w:rsidR="001B7451">
        <w:rPr>
          <w:rFonts w:ascii="Arial" w:hAnsi="Arial" w:cs="Arial"/>
          <w:sz w:val="18"/>
          <w:szCs w:val="18"/>
          <w:lang w:val="hr-HR"/>
        </w:rPr>
        <w:t xml:space="preserve">usporedbi sa </w:t>
      </w:r>
      <w:r>
        <w:rPr>
          <w:rFonts w:ascii="Arial" w:hAnsi="Arial" w:cs="Arial"/>
          <w:sz w:val="18"/>
          <w:szCs w:val="18"/>
          <w:lang w:val="hr-HR"/>
        </w:rPr>
        <w:t>planiran</w:t>
      </w:r>
      <w:r w:rsidR="001B7451">
        <w:rPr>
          <w:rFonts w:ascii="Arial" w:hAnsi="Arial" w:cs="Arial"/>
          <w:sz w:val="18"/>
          <w:szCs w:val="18"/>
          <w:lang w:val="hr-HR"/>
        </w:rPr>
        <w:t>im</w:t>
      </w:r>
      <w:r>
        <w:rPr>
          <w:rFonts w:ascii="Arial" w:hAnsi="Arial" w:cs="Arial"/>
          <w:sz w:val="18"/>
          <w:szCs w:val="18"/>
          <w:lang w:val="hr-HR"/>
        </w:rPr>
        <w:t xml:space="preserve"> vrijednosti</w:t>
      </w:r>
      <w:r w:rsidR="001B7451">
        <w:rPr>
          <w:rFonts w:ascii="Arial" w:hAnsi="Arial" w:cs="Arial"/>
          <w:sz w:val="18"/>
          <w:szCs w:val="18"/>
          <w:lang w:val="hr-HR"/>
        </w:rPr>
        <w:t>ma</w:t>
      </w:r>
      <w:r>
        <w:rPr>
          <w:rFonts w:ascii="Arial" w:hAnsi="Arial" w:cs="Arial"/>
          <w:sz w:val="18"/>
          <w:szCs w:val="18"/>
          <w:lang w:val="hr-HR"/>
        </w:rPr>
        <w:t xml:space="preserve"> prema ekonomskoj klasifikaciji.</w:t>
      </w:r>
    </w:p>
    <w:p w:rsidR="00FD50CD" w:rsidRPr="00F57B05" w:rsidRDefault="00FD50CD" w:rsidP="00525D15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sz w:val="18"/>
          <w:szCs w:val="18"/>
          <w:lang w:val="hr-HR"/>
        </w:rPr>
      </w:pPr>
    </w:p>
    <w:p w:rsidR="00BB08B4" w:rsidRPr="00F57B05" w:rsidRDefault="00FE5A2B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  <w:r w:rsidRPr="00F57B05">
        <w:rPr>
          <w:rFonts w:ascii="Arial" w:hAnsi="Arial" w:cs="Arial"/>
          <w:noProof/>
          <w:sz w:val="18"/>
          <w:szCs w:val="18"/>
          <w:lang w:val="hr-HR" w:eastAsia="hr-HR"/>
        </w:rPr>
        <w:lastRenderedPageBreak/>
        <w:drawing>
          <wp:inline distT="0" distB="0" distL="0" distR="0" wp14:anchorId="26B508CA" wp14:editId="0A1EFD43">
            <wp:extent cx="5731510" cy="8217659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17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8B4" w:rsidRPr="00F57B05" w:rsidRDefault="00BB08B4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BB08B4" w:rsidRPr="00F57B05" w:rsidRDefault="00BB08B4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BB08B4" w:rsidRPr="00F57B05" w:rsidRDefault="00BB08B4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BB08B4" w:rsidRPr="00F57B05" w:rsidRDefault="00BB08B4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BB08B4" w:rsidRPr="00F57B05" w:rsidRDefault="00BB08B4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E934B8" w:rsidRPr="00F57B05" w:rsidRDefault="00E934B8" w:rsidP="00E934B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:rsidR="00E934B8" w:rsidRPr="00F57B05" w:rsidRDefault="00E934B8" w:rsidP="00E934B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hr-HR"/>
        </w:rPr>
      </w:pPr>
      <w:r w:rsidRPr="00F57B05">
        <w:rPr>
          <w:rFonts w:ascii="Arial" w:hAnsi="Arial" w:cs="Arial"/>
          <w:b/>
          <w:sz w:val="18"/>
          <w:szCs w:val="18"/>
          <w:lang w:val="hr-HR"/>
        </w:rPr>
        <w:t>BILJEŠKE UZ IZVJEŠTAJ O PROMJENAMA U VRIJEDNOSTI I OBUJMU IMOVINE I OBVEZA</w:t>
      </w:r>
    </w:p>
    <w:p w:rsidR="00E934B8" w:rsidRPr="00F57B05" w:rsidRDefault="00E934B8" w:rsidP="00E934B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:rsidR="00E934B8" w:rsidRDefault="00E934B8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  <w:r w:rsidRPr="00F57B05">
        <w:rPr>
          <w:rFonts w:ascii="Arial" w:hAnsi="Arial" w:cs="Arial"/>
          <w:sz w:val="18"/>
          <w:szCs w:val="18"/>
          <w:lang w:val="hr-HR"/>
        </w:rPr>
        <w:t>BILJEŠKA</w:t>
      </w:r>
      <w:r w:rsidR="000919A2">
        <w:rPr>
          <w:rFonts w:ascii="Arial" w:hAnsi="Arial" w:cs="Arial"/>
          <w:sz w:val="18"/>
          <w:szCs w:val="18"/>
          <w:lang w:val="hr-HR"/>
        </w:rPr>
        <w:t xml:space="preserve"> 12</w:t>
      </w:r>
    </w:p>
    <w:p w:rsidR="009A21BE" w:rsidRDefault="009A21BE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8226C7" w:rsidRDefault="008226C7" w:rsidP="00E1273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U Izvještaju o promjenama u vrijednosti i obujmu imovine i obveza nisu iskazane promjene u vrijednosti (revalorizaciji) imovine (AOP 002). </w:t>
      </w:r>
    </w:p>
    <w:p w:rsidR="008226C7" w:rsidRDefault="008226C7" w:rsidP="00E1273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Međutim, evidentirane su promjene u obujmu imovine </w:t>
      </w:r>
      <w:r w:rsidR="004C565E">
        <w:rPr>
          <w:rFonts w:ascii="Arial" w:hAnsi="Arial" w:cs="Arial"/>
          <w:sz w:val="18"/>
          <w:szCs w:val="18"/>
          <w:lang w:val="hr-HR"/>
        </w:rPr>
        <w:t xml:space="preserve">(AOP 018) </w:t>
      </w:r>
      <w:r w:rsidR="00932361">
        <w:rPr>
          <w:rFonts w:ascii="Arial" w:hAnsi="Arial" w:cs="Arial"/>
          <w:sz w:val="18"/>
          <w:szCs w:val="18"/>
          <w:lang w:val="hr-HR"/>
        </w:rPr>
        <w:t>u ukupnom iznosu od</w:t>
      </w:r>
      <w:r w:rsidR="00932361" w:rsidRPr="00932361">
        <w:rPr>
          <w:rFonts w:ascii="Arial" w:hAnsi="Arial" w:cs="Arial"/>
          <w:sz w:val="16"/>
          <w:szCs w:val="16"/>
        </w:rPr>
        <w:t xml:space="preserve"> </w:t>
      </w:r>
      <w:r w:rsidR="00932361" w:rsidRPr="00932361">
        <w:rPr>
          <w:rFonts w:ascii="Arial" w:hAnsi="Arial" w:cs="Arial"/>
          <w:sz w:val="18"/>
          <w:szCs w:val="18"/>
        </w:rPr>
        <w:t>10,332,450</w:t>
      </w:r>
      <w:r w:rsidR="00932361">
        <w:rPr>
          <w:rFonts w:ascii="Arial" w:hAnsi="Arial" w:cs="Arial"/>
          <w:sz w:val="18"/>
          <w:szCs w:val="18"/>
        </w:rPr>
        <w:t xml:space="preserve"> kn </w:t>
      </w:r>
      <w:r w:rsidR="00932361">
        <w:rPr>
          <w:rFonts w:ascii="Arial" w:hAnsi="Arial" w:cs="Arial"/>
          <w:sz w:val="18"/>
          <w:szCs w:val="18"/>
          <w:lang w:val="hr-HR"/>
        </w:rPr>
        <w:t xml:space="preserve"> </w:t>
      </w:r>
      <w:r>
        <w:rPr>
          <w:rFonts w:ascii="Arial" w:hAnsi="Arial" w:cs="Arial"/>
          <w:sz w:val="18"/>
          <w:szCs w:val="18"/>
          <w:lang w:val="hr-HR"/>
        </w:rPr>
        <w:t xml:space="preserve">i to uslijed provedenog rashoda </w:t>
      </w:r>
      <w:r w:rsidR="00932361">
        <w:rPr>
          <w:rFonts w:ascii="Arial" w:hAnsi="Arial" w:cs="Arial"/>
          <w:sz w:val="18"/>
          <w:szCs w:val="18"/>
          <w:lang w:val="hr-HR"/>
        </w:rPr>
        <w:t>imovine:</w:t>
      </w:r>
    </w:p>
    <w:p w:rsidR="00932361" w:rsidRDefault="00932361" w:rsidP="00E1273E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Skladišta br. 7 u neotpisanoj (neto) vrijednosti od 9.498.153,38 kn;</w:t>
      </w:r>
    </w:p>
    <w:p w:rsidR="00932361" w:rsidRDefault="00932361" w:rsidP="00E1273E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Uredski</w:t>
      </w:r>
      <w:r w:rsidR="00980668">
        <w:rPr>
          <w:rFonts w:ascii="Arial" w:hAnsi="Arial" w:cs="Arial"/>
          <w:sz w:val="18"/>
          <w:szCs w:val="18"/>
          <w:lang w:val="hr-HR"/>
        </w:rPr>
        <w:t>h</w:t>
      </w:r>
      <w:r>
        <w:rPr>
          <w:rFonts w:ascii="Arial" w:hAnsi="Arial" w:cs="Arial"/>
          <w:sz w:val="18"/>
          <w:szCs w:val="18"/>
          <w:lang w:val="hr-HR"/>
        </w:rPr>
        <w:t xml:space="preserve"> objek</w:t>
      </w:r>
      <w:r w:rsidR="00980668">
        <w:rPr>
          <w:rFonts w:ascii="Arial" w:hAnsi="Arial" w:cs="Arial"/>
          <w:sz w:val="18"/>
          <w:szCs w:val="18"/>
          <w:lang w:val="hr-HR"/>
        </w:rPr>
        <w:t>a</w:t>
      </w:r>
      <w:r>
        <w:rPr>
          <w:rFonts w:ascii="Arial" w:hAnsi="Arial" w:cs="Arial"/>
          <w:sz w:val="18"/>
          <w:szCs w:val="18"/>
          <w:lang w:val="hr-HR"/>
        </w:rPr>
        <w:t>t</w:t>
      </w:r>
      <w:r w:rsidR="00980668">
        <w:rPr>
          <w:rFonts w:ascii="Arial" w:hAnsi="Arial" w:cs="Arial"/>
          <w:sz w:val="18"/>
          <w:szCs w:val="18"/>
          <w:lang w:val="hr-HR"/>
        </w:rPr>
        <w:t>a</w:t>
      </w:r>
      <w:r>
        <w:rPr>
          <w:rFonts w:ascii="Arial" w:hAnsi="Arial" w:cs="Arial"/>
          <w:sz w:val="18"/>
          <w:szCs w:val="18"/>
          <w:lang w:val="hr-HR"/>
        </w:rPr>
        <w:t xml:space="preserve"> u istočnom i zapadnom aneksu skladišta br. 7 u ukupnoj neotpisanoj vrijednosti od 832.992,92 kn</w:t>
      </w:r>
      <w:r w:rsidR="00980668">
        <w:rPr>
          <w:rFonts w:ascii="Arial" w:hAnsi="Arial" w:cs="Arial"/>
          <w:sz w:val="18"/>
          <w:szCs w:val="18"/>
          <w:lang w:val="hr-HR"/>
        </w:rPr>
        <w:t>;</w:t>
      </w:r>
    </w:p>
    <w:p w:rsidR="00980668" w:rsidRDefault="00980668" w:rsidP="00E1273E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Uredsk</w:t>
      </w:r>
      <w:r w:rsidR="00271EDD">
        <w:rPr>
          <w:rFonts w:ascii="Arial" w:hAnsi="Arial" w:cs="Arial"/>
          <w:sz w:val="18"/>
          <w:szCs w:val="18"/>
          <w:lang w:val="hr-HR"/>
        </w:rPr>
        <w:t>og</w:t>
      </w:r>
      <w:r>
        <w:rPr>
          <w:rFonts w:ascii="Arial" w:hAnsi="Arial" w:cs="Arial"/>
          <w:sz w:val="18"/>
          <w:szCs w:val="18"/>
          <w:lang w:val="hr-HR"/>
        </w:rPr>
        <w:t xml:space="preserve"> namještaj</w:t>
      </w:r>
      <w:r w:rsidR="00271EDD">
        <w:rPr>
          <w:rFonts w:ascii="Arial" w:hAnsi="Arial" w:cs="Arial"/>
          <w:sz w:val="18"/>
          <w:szCs w:val="18"/>
          <w:lang w:val="hr-HR"/>
        </w:rPr>
        <w:t>a</w:t>
      </w:r>
      <w:r>
        <w:rPr>
          <w:rFonts w:ascii="Arial" w:hAnsi="Arial" w:cs="Arial"/>
          <w:sz w:val="18"/>
          <w:szCs w:val="18"/>
          <w:lang w:val="hr-HR"/>
        </w:rPr>
        <w:t xml:space="preserve"> u neotpisanoj vrijednosti od 895,38 kn i</w:t>
      </w:r>
    </w:p>
    <w:p w:rsidR="00932361" w:rsidRPr="001D6F7C" w:rsidRDefault="004C565E" w:rsidP="00E1273E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/>
        </w:rPr>
      </w:pPr>
      <w:r w:rsidRPr="001D6F7C">
        <w:rPr>
          <w:rFonts w:ascii="Arial" w:hAnsi="Arial" w:cs="Arial"/>
          <w:sz w:val="18"/>
          <w:szCs w:val="18"/>
          <w:lang w:val="hr-HR"/>
        </w:rPr>
        <w:t>Opreme u neotpisanoj vrijednosti od 457,94 kn.</w:t>
      </w:r>
    </w:p>
    <w:p w:rsidR="009A21BE" w:rsidRDefault="009A21BE" w:rsidP="00E1273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/>
        </w:rPr>
      </w:pPr>
    </w:p>
    <w:p w:rsidR="009A21BE" w:rsidRDefault="008226C7" w:rsidP="00E1273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/>
        </w:rPr>
      </w:pPr>
      <w:r w:rsidRPr="008226C7">
        <w:rPr>
          <w:rFonts w:ascii="Arial" w:hAnsi="Arial" w:cs="Arial"/>
          <w:sz w:val="18"/>
          <w:szCs w:val="18"/>
          <w:lang w:val="hr-HR"/>
        </w:rPr>
        <w:t>Promjene u vrijednosti i obujmu obveza (AOP 034)</w:t>
      </w:r>
      <w:r>
        <w:rPr>
          <w:rFonts w:ascii="Arial" w:hAnsi="Arial" w:cs="Arial"/>
          <w:sz w:val="18"/>
          <w:szCs w:val="18"/>
          <w:lang w:val="hr-HR"/>
        </w:rPr>
        <w:t xml:space="preserve"> nisu iskazane</w:t>
      </w:r>
      <w:r w:rsidRPr="008226C7">
        <w:rPr>
          <w:rFonts w:ascii="Arial" w:hAnsi="Arial" w:cs="Arial"/>
          <w:sz w:val="18"/>
          <w:szCs w:val="18"/>
          <w:lang w:val="hr-HR"/>
        </w:rPr>
        <w:t>.</w:t>
      </w:r>
    </w:p>
    <w:p w:rsidR="009A21BE" w:rsidRDefault="009A21BE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E934B8" w:rsidRPr="00F57B05" w:rsidRDefault="00E934B8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E934B8" w:rsidRPr="00F57B05" w:rsidRDefault="00E934B8" w:rsidP="00E934B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hr-HR"/>
        </w:rPr>
      </w:pPr>
      <w:r w:rsidRPr="00F57B05">
        <w:rPr>
          <w:rFonts w:ascii="Arial" w:hAnsi="Arial" w:cs="Arial"/>
          <w:b/>
          <w:sz w:val="18"/>
          <w:szCs w:val="18"/>
          <w:lang w:val="hr-HR"/>
        </w:rPr>
        <w:t>BILJEŠKE UZ IZVJEŠTAJ O RASHODIMA PREMA FUNKCIJSKOJ KLASIFIKACIJI</w:t>
      </w:r>
    </w:p>
    <w:p w:rsidR="00E934B8" w:rsidRPr="00F57B05" w:rsidRDefault="00E934B8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E934B8" w:rsidRDefault="00E934B8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  <w:r w:rsidRPr="00F57B05">
        <w:rPr>
          <w:rFonts w:ascii="Arial" w:hAnsi="Arial" w:cs="Arial"/>
          <w:sz w:val="18"/>
          <w:szCs w:val="18"/>
          <w:lang w:val="hr-HR"/>
        </w:rPr>
        <w:t>BILJEŠKA</w:t>
      </w:r>
      <w:r w:rsidR="000919A2">
        <w:rPr>
          <w:rFonts w:ascii="Arial" w:hAnsi="Arial" w:cs="Arial"/>
          <w:sz w:val="18"/>
          <w:szCs w:val="18"/>
          <w:lang w:val="hr-HR"/>
        </w:rPr>
        <w:t xml:space="preserve"> 13</w:t>
      </w:r>
    </w:p>
    <w:p w:rsidR="00DC1A3F" w:rsidRDefault="00DC1A3F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D93EEB" w:rsidRDefault="00A4429B" w:rsidP="00D93EE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r-HR"/>
        </w:rPr>
        <w:t xml:space="preserve">U Izvještaju o rashodima prema funkcijskoj klasifikaciji razvrstani su rashodi </w:t>
      </w:r>
      <w:r w:rsidR="00D93EEB">
        <w:rPr>
          <w:rFonts w:ascii="Arial" w:hAnsi="Arial" w:cs="Arial"/>
          <w:sz w:val="18"/>
          <w:szCs w:val="18"/>
          <w:lang w:val="hr-HR"/>
        </w:rPr>
        <w:t>poslovanja (</w:t>
      </w:r>
      <w:r>
        <w:rPr>
          <w:rFonts w:ascii="Arial" w:hAnsi="Arial" w:cs="Arial"/>
          <w:sz w:val="18"/>
          <w:szCs w:val="18"/>
          <w:lang w:val="hr-HR"/>
        </w:rPr>
        <w:t>razred</w:t>
      </w:r>
      <w:r w:rsidR="00D93EEB">
        <w:rPr>
          <w:rFonts w:ascii="Arial" w:hAnsi="Arial" w:cs="Arial"/>
          <w:sz w:val="18"/>
          <w:szCs w:val="18"/>
          <w:lang w:val="hr-HR"/>
        </w:rPr>
        <w:t xml:space="preserve"> 3) i rashodi za nabavu nefinancijske imovine (razred 4) sukladno Pravilniku o proračunskim klasifikacijama i to unutar oznaka 0452 – Promet vodenim tokovima (</w:t>
      </w:r>
      <w:r w:rsidR="00D93EEB" w:rsidRPr="00D93EEB">
        <w:rPr>
          <w:rFonts w:ascii="Arial" w:hAnsi="Arial" w:cs="Arial"/>
          <w:sz w:val="18"/>
          <w:szCs w:val="18"/>
        </w:rPr>
        <w:t>227,224,694</w:t>
      </w:r>
      <w:r w:rsidR="00D93EEB">
        <w:rPr>
          <w:rFonts w:ascii="Arial" w:hAnsi="Arial" w:cs="Arial"/>
          <w:sz w:val="18"/>
          <w:szCs w:val="18"/>
        </w:rPr>
        <w:t xml:space="preserve"> kn) i 0453 – Željeznički promet (</w:t>
      </w:r>
      <w:r w:rsidR="00D93EEB" w:rsidRPr="00D93EEB">
        <w:rPr>
          <w:rFonts w:ascii="Arial" w:hAnsi="Arial" w:cs="Arial"/>
          <w:sz w:val="18"/>
          <w:szCs w:val="18"/>
        </w:rPr>
        <w:t>29,728,047</w:t>
      </w:r>
      <w:r w:rsidR="00D93EEB">
        <w:rPr>
          <w:rFonts w:ascii="Arial" w:hAnsi="Arial" w:cs="Arial"/>
          <w:sz w:val="18"/>
          <w:szCs w:val="18"/>
        </w:rPr>
        <w:t xml:space="preserve"> kn). </w:t>
      </w:r>
    </w:p>
    <w:p w:rsidR="001E0750" w:rsidRDefault="001E0750" w:rsidP="00D93EE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C1A3F" w:rsidRDefault="001E0750" w:rsidP="001E0750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</w:rPr>
        <w:t xml:space="preserve">Rashodi razvrstani unutar oznake 0453 – Željeznički promet odnose se </w:t>
      </w:r>
      <w:proofErr w:type="gramStart"/>
      <w:r w:rsidRPr="001E0750">
        <w:rPr>
          <w:rFonts w:ascii="Arial" w:hAnsi="Arial" w:cs="Arial"/>
          <w:sz w:val="18"/>
          <w:szCs w:val="18"/>
          <w:lang w:val="hr-HR"/>
        </w:rPr>
        <w:t>na</w:t>
      </w:r>
      <w:proofErr w:type="gramEnd"/>
      <w:r w:rsidRPr="001E0750">
        <w:rPr>
          <w:rFonts w:ascii="Arial" w:hAnsi="Arial" w:cs="Arial"/>
          <w:sz w:val="18"/>
          <w:szCs w:val="18"/>
          <w:lang w:val="hr-HR"/>
        </w:rPr>
        <w:t xml:space="preserve"> prijenos sredstava u korist partnera (HŽI) u CEF projektu unapređenja infrastrukture na kontejnerskom terminalu Zagrebačka obala</w:t>
      </w:r>
      <w:r>
        <w:rPr>
          <w:rFonts w:ascii="Arial" w:hAnsi="Arial" w:cs="Arial"/>
          <w:sz w:val="18"/>
          <w:szCs w:val="18"/>
          <w:lang w:val="hr-HR"/>
        </w:rPr>
        <w:t>.</w:t>
      </w:r>
    </w:p>
    <w:p w:rsidR="00DC1A3F" w:rsidRDefault="00DC1A3F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DC1A3F" w:rsidRPr="00F57B05" w:rsidRDefault="00DC1A3F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E934B8" w:rsidRPr="00F57B05" w:rsidRDefault="00E934B8" w:rsidP="00E934B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hr-HR"/>
        </w:rPr>
      </w:pPr>
    </w:p>
    <w:p w:rsidR="00E934B8" w:rsidRPr="00F57B05" w:rsidRDefault="00E934B8" w:rsidP="00E934B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hr-HR"/>
        </w:rPr>
      </w:pPr>
      <w:r w:rsidRPr="00F57B05">
        <w:rPr>
          <w:rFonts w:ascii="Arial" w:hAnsi="Arial" w:cs="Arial"/>
          <w:b/>
          <w:sz w:val="18"/>
          <w:szCs w:val="18"/>
          <w:lang w:val="hr-HR"/>
        </w:rPr>
        <w:t>BILJEŠKE UZ IZVJEŠTAJ O OBVEZAMA</w:t>
      </w:r>
    </w:p>
    <w:p w:rsidR="00A42C5E" w:rsidRPr="00F57B05" w:rsidRDefault="00A42C5E" w:rsidP="00E934B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:rsidR="00A42C5E" w:rsidRDefault="00A42C5E" w:rsidP="00E1273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/>
        </w:rPr>
      </w:pPr>
      <w:r w:rsidRPr="00F57B05">
        <w:rPr>
          <w:rFonts w:ascii="Arial" w:hAnsi="Arial" w:cs="Arial"/>
          <w:sz w:val="18"/>
          <w:szCs w:val="18"/>
          <w:lang w:val="hr-HR"/>
        </w:rPr>
        <w:t>BILJEŠKA</w:t>
      </w:r>
      <w:r w:rsidR="000919A2">
        <w:rPr>
          <w:rFonts w:ascii="Arial" w:hAnsi="Arial" w:cs="Arial"/>
          <w:sz w:val="18"/>
          <w:szCs w:val="18"/>
          <w:lang w:val="hr-HR"/>
        </w:rPr>
        <w:t xml:space="preserve"> 14</w:t>
      </w:r>
    </w:p>
    <w:p w:rsidR="004E3BBD" w:rsidRPr="00F57B05" w:rsidRDefault="004E3BBD" w:rsidP="00E1273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hr-HR"/>
        </w:rPr>
      </w:pPr>
    </w:p>
    <w:p w:rsidR="004E3BBD" w:rsidRDefault="004E3BBD" w:rsidP="00E1273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  <w:lang w:val="hr-HR"/>
        </w:rPr>
        <w:t xml:space="preserve">U Izvještaju o obvezama utvrđeni iznos obveza na dan 31.12.2021.godine (AOP 038) iznosi </w:t>
      </w:r>
      <w:r w:rsidRPr="004E3BBD">
        <w:rPr>
          <w:rFonts w:ascii="Arial" w:hAnsi="Arial" w:cs="Arial"/>
          <w:bCs/>
          <w:sz w:val="18"/>
          <w:szCs w:val="18"/>
        </w:rPr>
        <w:t>689,855,029</w:t>
      </w:r>
      <w:r>
        <w:rPr>
          <w:rFonts w:ascii="Arial" w:hAnsi="Arial" w:cs="Arial"/>
          <w:bCs/>
          <w:sz w:val="18"/>
          <w:szCs w:val="18"/>
        </w:rPr>
        <w:t xml:space="preserve"> kn što je jednako zb</w:t>
      </w:r>
      <w:r w:rsidR="00C92A8C">
        <w:rPr>
          <w:rFonts w:ascii="Arial" w:hAnsi="Arial" w:cs="Arial"/>
          <w:bCs/>
          <w:sz w:val="18"/>
          <w:szCs w:val="18"/>
        </w:rPr>
        <w:t>roju razreda 2 u bruto bilanci i zbroju obveza iskazanih u Bilanci (AOP 170).</w:t>
      </w:r>
    </w:p>
    <w:p w:rsidR="00C92A8C" w:rsidRDefault="00C92A8C" w:rsidP="00E1273E">
      <w:pPr>
        <w:jc w:val="both"/>
        <w:rPr>
          <w:rFonts w:ascii="Arial" w:hAnsi="Arial" w:cs="Arial"/>
          <w:bCs/>
          <w:sz w:val="18"/>
          <w:szCs w:val="18"/>
        </w:rPr>
      </w:pPr>
    </w:p>
    <w:p w:rsidR="00C92A8C" w:rsidRDefault="00C92A8C" w:rsidP="00E1273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Obveze za financijsku imovinu </w:t>
      </w:r>
      <w:proofErr w:type="gramStart"/>
      <w:r>
        <w:rPr>
          <w:rFonts w:ascii="Arial" w:hAnsi="Arial" w:cs="Arial"/>
          <w:bCs/>
          <w:sz w:val="18"/>
          <w:szCs w:val="18"/>
        </w:rPr>
        <w:t>na</w:t>
      </w:r>
      <w:proofErr w:type="gramEnd"/>
      <w:r>
        <w:rPr>
          <w:rFonts w:ascii="Arial" w:hAnsi="Arial" w:cs="Arial"/>
          <w:bCs/>
          <w:sz w:val="18"/>
          <w:szCs w:val="18"/>
        </w:rPr>
        <w:t xml:space="preserve"> dan 31.12.2021.godine iznose </w:t>
      </w:r>
      <w:r w:rsidRPr="00C92A8C">
        <w:rPr>
          <w:rFonts w:ascii="Arial" w:hAnsi="Arial" w:cs="Arial"/>
          <w:bCs/>
          <w:sz w:val="18"/>
          <w:szCs w:val="18"/>
        </w:rPr>
        <w:t>668,977,725</w:t>
      </w:r>
      <w:r>
        <w:rPr>
          <w:rFonts w:ascii="Arial" w:hAnsi="Arial" w:cs="Arial"/>
          <w:bCs/>
          <w:sz w:val="18"/>
          <w:szCs w:val="18"/>
        </w:rPr>
        <w:t xml:space="preserve"> kn što je </w:t>
      </w:r>
      <w:r w:rsidR="00DC1A3F">
        <w:rPr>
          <w:rFonts w:ascii="Arial" w:hAnsi="Arial" w:cs="Arial"/>
          <w:bCs/>
          <w:sz w:val="18"/>
          <w:szCs w:val="18"/>
        </w:rPr>
        <w:t xml:space="preserve">jednako obvezama za kredite i zajmove u Bilanci </w:t>
      </w:r>
      <w:r w:rsidR="00DC1A3F" w:rsidRPr="00DC1A3F">
        <w:rPr>
          <w:rFonts w:ascii="Arial" w:hAnsi="Arial" w:cs="Arial"/>
          <w:bCs/>
          <w:sz w:val="18"/>
          <w:szCs w:val="18"/>
        </w:rPr>
        <w:t>(AOP 200)</w:t>
      </w:r>
      <w:r w:rsidR="00DC1A3F">
        <w:rPr>
          <w:rFonts w:ascii="Arial" w:hAnsi="Arial" w:cs="Arial"/>
          <w:bCs/>
          <w:sz w:val="18"/>
          <w:szCs w:val="18"/>
        </w:rPr>
        <w:t xml:space="preserve">. </w:t>
      </w:r>
      <w:r>
        <w:rPr>
          <w:rFonts w:ascii="Arial" w:hAnsi="Arial" w:cs="Arial"/>
          <w:bCs/>
          <w:sz w:val="18"/>
          <w:szCs w:val="18"/>
        </w:rPr>
        <w:t xml:space="preserve">  </w:t>
      </w:r>
    </w:p>
    <w:p w:rsidR="00C92A8C" w:rsidRDefault="00C92A8C" w:rsidP="00E1273E">
      <w:pPr>
        <w:jc w:val="both"/>
        <w:rPr>
          <w:rFonts w:ascii="Arial" w:hAnsi="Arial" w:cs="Arial"/>
          <w:bCs/>
          <w:sz w:val="18"/>
          <w:szCs w:val="18"/>
        </w:rPr>
      </w:pPr>
    </w:p>
    <w:p w:rsidR="00C92A8C" w:rsidRDefault="00C92A8C" w:rsidP="00E1273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Na kraju izvještajnog razdoblja nisu evidentirane dospjele obveze niti prekoračenja.</w:t>
      </w:r>
    </w:p>
    <w:p w:rsidR="00F11553" w:rsidRDefault="00F11553" w:rsidP="00E1273E">
      <w:pPr>
        <w:jc w:val="both"/>
        <w:rPr>
          <w:rFonts w:ascii="Arial" w:hAnsi="Arial" w:cs="Arial"/>
          <w:bCs/>
          <w:sz w:val="18"/>
          <w:szCs w:val="18"/>
        </w:rPr>
      </w:pPr>
    </w:p>
    <w:p w:rsidR="00F11553" w:rsidRDefault="00F11553" w:rsidP="00E1273E">
      <w:pPr>
        <w:jc w:val="both"/>
        <w:rPr>
          <w:rFonts w:ascii="Arial" w:hAnsi="Arial" w:cs="Arial"/>
          <w:bCs/>
          <w:sz w:val="18"/>
          <w:szCs w:val="18"/>
        </w:rPr>
      </w:pPr>
    </w:p>
    <w:p w:rsidR="00F11553" w:rsidRDefault="00F11553" w:rsidP="004E3BBD">
      <w:pPr>
        <w:rPr>
          <w:rFonts w:ascii="Arial" w:hAnsi="Arial" w:cs="Arial"/>
          <w:bCs/>
          <w:sz w:val="18"/>
          <w:szCs w:val="18"/>
        </w:rPr>
      </w:pPr>
    </w:p>
    <w:p w:rsidR="00F11553" w:rsidRDefault="00F11553" w:rsidP="004E3BBD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U Rijeci, 31.01.2022.godine</w:t>
      </w:r>
    </w:p>
    <w:p w:rsidR="00800925" w:rsidRDefault="00800925" w:rsidP="004E3BBD">
      <w:pPr>
        <w:rPr>
          <w:rFonts w:ascii="Arial" w:hAnsi="Arial" w:cs="Arial"/>
          <w:bCs/>
          <w:sz w:val="18"/>
          <w:szCs w:val="18"/>
        </w:rPr>
      </w:pPr>
    </w:p>
    <w:p w:rsidR="00800925" w:rsidRDefault="00800925" w:rsidP="004E3BBD">
      <w:pPr>
        <w:rPr>
          <w:rFonts w:ascii="Arial" w:hAnsi="Arial" w:cs="Arial"/>
          <w:bCs/>
          <w:sz w:val="18"/>
          <w:szCs w:val="18"/>
        </w:rPr>
      </w:pPr>
    </w:p>
    <w:p w:rsidR="00F11553" w:rsidRDefault="00F11553" w:rsidP="004E3BBD">
      <w:pPr>
        <w:rPr>
          <w:rFonts w:ascii="Arial" w:hAnsi="Arial" w:cs="Arial"/>
          <w:bCs/>
          <w:sz w:val="18"/>
          <w:szCs w:val="18"/>
        </w:rPr>
      </w:pPr>
    </w:p>
    <w:p w:rsidR="00F11553" w:rsidRPr="004E3BBD" w:rsidRDefault="00F11553" w:rsidP="004E3BBD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="00800925">
        <w:rPr>
          <w:rFonts w:ascii="Arial" w:hAnsi="Arial" w:cs="Arial"/>
          <w:bCs/>
          <w:sz w:val="18"/>
          <w:szCs w:val="18"/>
        </w:rPr>
        <w:t xml:space="preserve">                           </w:t>
      </w:r>
      <w:r>
        <w:rPr>
          <w:rFonts w:ascii="Arial" w:hAnsi="Arial" w:cs="Arial"/>
          <w:bCs/>
          <w:sz w:val="18"/>
          <w:szCs w:val="18"/>
        </w:rPr>
        <w:t>RAVNATELJ:</w:t>
      </w:r>
    </w:p>
    <w:p w:rsidR="00E06519" w:rsidRDefault="00800925">
      <w:pPr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                                                                                                     </w:t>
      </w:r>
    </w:p>
    <w:p w:rsidR="00800925" w:rsidRPr="00F57B05" w:rsidRDefault="00800925">
      <w:pPr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                                                                                                                                      Denis Vukorepa, dipl.ing.</w:t>
      </w:r>
    </w:p>
    <w:sectPr w:rsidR="00800925" w:rsidRPr="00F57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094"/>
    <w:multiLevelType w:val="hybridMultilevel"/>
    <w:tmpl w:val="FF92487E"/>
    <w:lvl w:ilvl="0" w:tplc="EB20AAAC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F82917"/>
    <w:multiLevelType w:val="hybridMultilevel"/>
    <w:tmpl w:val="4892912A"/>
    <w:lvl w:ilvl="0" w:tplc="01A8C1EE">
      <w:numFmt w:val="bullet"/>
      <w:lvlText w:val="-"/>
      <w:lvlJc w:val="left"/>
      <w:pPr>
        <w:tabs>
          <w:tab w:val="num" w:pos="1428"/>
        </w:tabs>
        <w:ind w:left="1428" w:hanging="360"/>
      </w:p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1B33BA4"/>
    <w:multiLevelType w:val="multilevel"/>
    <w:tmpl w:val="8D568B74"/>
    <w:lvl w:ilvl="0">
      <w:start w:val="125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327"/>
      <w:numFmt w:val="decimal"/>
      <w:lvlText w:val="%1.%2"/>
      <w:lvlJc w:val="left"/>
      <w:pPr>
        <w:ind w:left="690" w:hanging="6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1C034599"/>
    <w:multiLevelType w:val="hybridMultilevel"/>
    <w:tmpl w:val="CC5EBCBC"/>
    <w:lvl w:ilvl="0" w:tplc="671C3D7A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3EDB1D71"/>
    <w:multiLevelType w:val="multilevel"/>
    <w:tmpl w:val="3B64F59E"/>
    <w:lvl w:ilvl="0">
      <w:start w:val="1"/>
      <w:numFmt w:val="decimalZero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FD81585"/>
    <w:multiLevelType w:val="hybridMultilevel"/>
    <w:tmpl w:val="9E0CC90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B34246"/>
    <w:multiLevelType w:val="multilevel"/>
    <w:tmpl w:val="5EE6F1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51B66BCE"/>
    <w:multiLevelType w:val="multilevel"/>
    <w:tmpl w:val="F9F0F7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536228AD"/>
    <w:multiLevelType w:val="hybridMultilevel"/>
    <w:tmpl w:val="458C6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D08C1"/>
    <w:multiLevelType w:val="hybridMultilevel"/>
    <w:tmpl w:val="298C4DE6"/>
    <w:lvl w:ilvl="0" w:tplc="098807A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70522"/>
    <w:multiLevelType w:val="multilevel"/>
    <w:tmpl w:val="25267532"/>
    <w:lvl w:ilvl="0">
      <w:start w:val="6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01" w:hanging="660"/>
      </w:pPr>
      <w:rPr>
        <w:rFonts w:cs="Times New Roman" w:hint="default"/>
        <w:color w:val="1F4E79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7B00733C"/>
    <w:multiLevelType w:val="hybridMultilevel"/>
    <w:tmpl w:val="28D026BC"/>
    <w:lvl w:ilvl="0" w:tplc="86087E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12641"/>
    <w:multiLevelType w:val="hybridMultilevel"/>
    <w:tmpl w:val="7BBC5B0A"/>
    <w:lvl w:ilvl="0" w:tplc="B7A822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5"/>
  </w:num>
  <w:num w:numId="5">
    <w:abstractNumId w:val="1"/>
  </w:num>
  <w:num w:numId="6">
    <w:abstractNumId w:val="11"/>
  </w:num>
  <w:num w:numId="7">
    <w:abstractNumId w:val="3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AE"/>
    <w:rsid w:val="000056CE"/>
    <w:rsid w:val="000058CF"/>
    <w:rsid w:val="00014873"/>
    <w:rsid w:val="000240C8"/>
    <w:rsid w:val="00031378"/>
    <w:rsid w:val="00050B97"/>
    <w:rsid w:val="00065F15"/>
    <w:rsid w:val="00080468"/>
    <w:rsid w:val="000919A2"/>
    <w:rsid w:val="000A77E3"/>
    <w:rsid w:val="000B6DBE"/>
    <w:rsid w:val="000E6519"/>
    <w:rsid w:val="000F2B0E"/>
    <w:rsid w:val="000F61A2"/>
    <w:rsid w:val="0016164B"/>
    <w:rsid w:val="00172E8A"/>
    <w:rsid w:val="00184334"/>
    <w:rsid w:val="00196467"/>
    <w:rsid w:val="001A2E76"/>
    <w:rsid w:val="001A68B1"/>
    <w:rsid w:val="001A70A1"/>
    <w:rsid w:val="001B21C2"/>
    <w:rsid w:val="001B21F2"/>
    <w:rsid w:val="001B7451"/>
    <w:rsid w:val="001B783B"/>
    <w:rsid w:val="001C03F6"/>
    <w:rsid w:val="001D06D2"/>
    <w:rsid w:val="001D6F7C"/>
    <w:rsid w:val="001E0750"/>
    <w:rsid w:val="001F4D14"/>
    <w:rsid w:val="002067C4"/>
    <w:rsid w:val="00211026"/>
    <w:rsid w:val="00247E25"/>
    <w:rsid w:val="00255545"/>
    <w:rsid w:val="0025573C"/>
    <w:rsid w:val="0026314F"/>
    <w:rsid w:val="00271EDD"/>
    <w:rsid w:val="00274706"/>
    <w:rsid w:val="002752EA"/>
    <w:rsid w:val="0027659F"/>
    <w:rsid w:val="00292EA7"/>
    <w:rsid w:val="0029499C"/>
    <w:rsid w:val="00295267"/>
    <w:rsid w:val="0029690B"/>
    <w:rsid w:val="0029797B"/>
    <w:rsid w:val="002A7412"/>
    <w:rsid w:val="002B1086"/>
    <w:rsid w:val="002B358B"/>
    <w:rsid w:val="002B7D39"/>
    <w:rsid w:val="002C4E01"/>
    <w:rsid w:val="002C7033"/>
    <w:rsid w:val="002D10B6"/>
    <w:rsid w:val="002D4174"/>
    <w:rsid w:val="002D7DF2"/>
    <w:rsid w:val="00312A68"/>
    <w:rsid w:val="00323E6F"/>
    <w:rsid w:val="00385BEE"/>
    <w:rsid w:val="003C44DE"/>
    <w:rsid w:val="003D2A89"/>
    <w:rsid w:val="003F0B62"/>
    <w:rsid w:val="003F28CF"/>
    <w:rsid w:val="00405539"/>
    <w:rsid w:val="00406ADB"/>
    <w:rsid w:val="00410B92"/>
    <w:rsid w:val="00412202"/>
    <w:rsid w:val="004153CE"/>
    <w:rsid w:val="00423A85"/>
    <w:rsid w:val="004548C1"/>
    <w:rsid w:val="004752E3"/>
    <w:rsid w:val="0049010F"/>
    <w:rsid w:val="00490B59"/>
    <w:rsid w:val="004A205F"/>
    <w:rsid w:val="004C565E"/>
    <w:rsid w:val="004D10A2"/>
    <w:rsid w:val="004D2823"/>
    <w:rsid w:val="004E3BBD"/>
    <w:rsid w:val="004F1FAE"/>
    <w:rsid w:val="004F54C9"/>
    <w:rsid w:val="00503B55"/>
    <w:rsid w:val="005147E1"/>
    <w:rsid w:val="00522EC2"/>
    <w:rsid w:val="00525D15"/>
    <w:rsid w:val="00562B5D"/>
    <w:rsid w:val="00585698"/>
    <w:rsid w:val="005916C1"/>
    <w:rsid w:val="005A23D6"/>
    <w:rsid w:val="005B5467"/>
    <w:rsid w:val="005D559F"/>
    <w:rsid w:val="005E2F55"/>
    <w:rsid w:val="005F4C26"/>
    <w:rsid w:val="00620873"/>
    <w:rsid w:val="0062519C"/>
    <w:rsid w:val="006341C6"/>
    <w:rsid w:val="00635ADC"/>
    <w:rsid w:val="00664B9E"/>
    <w:rsid w:val="006659EC"/>
    <w:rsid w:val="0069072E"/>
    <w:rsid w:val="006B56A6"/>
    <w:rsid w:val="006B5DF6"/>
    <w:rsid w:val="006B6228"/>
    <w:rsid w:val="006D24B3"/>
    <w:rsid w:val="006E26D8"/>
    <w:rsid w:val="006E7DA3"/>
    <w:rsid w:val="00703497"/>
    <w:rsid w:val="00703D49"/>
    <w:rsid w:val="00713670"/>
    <w:rsid w:val="007309EC"/>
    <w:rsid w:val="007366D4"/>
    <w:rsid w:val="0074236F"/>
    <w:rsid w:val="0075327B"/>
    <w:rsid w:val="007651DB"/>
    <w:rsid w:val="007A3744"/>
    <w:rsid w:val="007A5125"/>
    <w:rsid w:val="007C7617"/>
    <w:rsid w:val="008006EF"/>
    <w:rsid w:val="00800925"/>
    <w:rsid w:val="00813EAD"/>
    <w:rsid w:val="008226C7"/>
    <w:rsid w:val="00837792"/>
    <w:rsid w:val="008605A0"/>
    <w:rsid w:val="008651DC"/>
    <w:rsid w:val="00881619"/>
    <w:rsid w:val="0088788A"/>
    <w:rsid w:val="008A2E6A"/>
    <w:rsid w:val="008A6F29"/>
    <w:rsid w:val="008B1CAD"/>
    <w:rsid w:val="008C5005"/>
    <w:rsid w:val="008E73EB"/>
    <w:rsid w:val="0090122C"/>
    <w:rsid w:val="009018CB"/>
    <w:rsid w:val="009042D0"/>
    <w:rsid w:val="00907671"/>
    <w:rsid w:val="00917E84"/>
    <w:rsid w:val="00920736"/>
    <w:rsid w:val="00921C29"/>
    <w:rsid w:val="00932361"/>
    <w:rsid w:val="009329EF"/>
    <w:rsid w:val="00937839"/>
    <w:rsid w:val="009658EE"/>
    <w:rsid w:val="009668F4"/>
    <w:rsid w:val="00980668"/>
    <w:rsid w:val="00981BEF"/>
    <w:rsid w:val="00987D03"/>
    <w:rsid w:val="009A21BE"/>
    <w:rsid w:val="009B1019"/>
    <w:rsid w:val="009B5D91"/>
    <w:rsid w:val="009C5942"/>
    <w:rsid w:val="009D6A87"/>
    <w:rsid w:val="009D78DD"/>
    <w:rsid w:val="009E395D"/>
    <w:rsid w:val="009E6DF2"/>
    <w:rsid w:val="009F3DC1"/>
    <w:rsid w:val="00A00FD3"/>
    <w:rsid w:val="00A0489B"/>
    <w:rsid w:val="00A1019A"/>
    <w:rsid w:val="00A20937"/>
    <w:rsid w:val="00A42C5E"/>
    <w:rsid w:val="00A4429B"/>
    <w:rsid w:val="00A51DDD"/>
    <w:rsid w:val="00A60FC3"/>
    <w:rsid w:val="00A61A51"/>
    <w:rsid w:val="00A775DB"/>
    <w:rsid w:val="00A805D6"/>
    <w:rsid w:val="00AA136D"/>
    <w:rsid w:val="00AA18D5"/>
    <w:rsid w:val="00AC145F"/>
    <w:rsid w:val="00AC7341"/>
    <w:rsid w:val="00AC7CC5"/>
    <w:rsid w:val="00AE04CD"/>
    <w:rsid w:val="00B0100D"/>
    <w:rsid w:val="00B11C72"/>
    <w:rsid w:val="00B13787"/>
    <w:rsid w:val="00B30004"/>
    <w:rsid w:val="00B3479C"/>
    <w:rsid w:val="00B4018A"/>
    <w:rsid w:val="00B514B2"/>
    <w:rsid w:val="00B57D2D"/>
    <w:rsid w:val="00B61759"/>
    <w:rsid w:val="00B7285F"/>
    <w:rsid w:val="00B84A43"/>
    <w:rsid w:val="00B97834"/>
    <w:rsid w:val="00BA2669"/>
    <w:rsid w:val="00BB08B4"/>
    <w:rsid w:val="00BB4230"/>
    <w:rsid w:val="00BB5894"/>
    <w:rsid w:val="00BB5B20"/>
    <w:rsid w:val="00BB6CEE"/>
    <w:rsid w:val="00BC66C2"/>
    <w:rsid w:val="00C110CF"/>
    <w:rsid w:val="00C11D45"/>
    <w:rsid w:val="00C15C8F"/>
    <w:rsid w:val="00C214EB"/>
    <w:rsid w:val="00C43B4E"/>
    <w:rsid w:val="00C46A86"/>
    <w:rsid w:val="00C571C1"/>
    <w:rsid w:val="00C84DA9"/>
    <w:rsid w:val="00C92A8C"/>
    <w:rsid w:val="00CB4AAD"/>
    <w:rsid w:val="00CC6108"/>
    <w:rsid w:val="00CE5E28"/>
    <w:rsid w:val="00D02D3F"/>
    <w:rsid w:val="00D06A2C"/>
    <w:rsid w:val="00D11E0D"/>
    <w:rsid w:val="00D2537D"/>
    <w:rsid w:val="00D37CB1"/>
    <w:rsid w:val="00D4678F"/>
    <w:rsid w:val="00D815CA"/>
    <w:rsid w:val="00D86331"/>
    <w:rsid w:val="00D87658"/>
    <w:rsid w:val="00D93EEB"/>
    <w:rsid w:val="00D947E2"/>
    <w:rsid w:val="00DA01EF"/>
    <w:rsid w:val="00DB279C"/>
    <w:rsid w:val="00DC1A3F"/>
    <w:rsid w:val="00DF3810"/>
    <w:rsid w:val="00E0518F"/>
    <w:rsid w:val="00E06519"/>
    <w:rsid w:val="00E11F9A"/>
    <w:rsid w:val="00E1273E"/>
    <w:rsid w:val="00E34725"/>
    <w:rsid w:val="00E4340D"/>
    <w:rsid w:val="00E72DFD"/>
    <w:rsid w:val="00E934B8"/>
    <w:rsid w:val="00EA2AD0"/>
    <w:rsid w:val="00EA7A13"/>
    <w:rsid w:val="00EB7554"/>
    <w:rsid w:val="00EC0BEC"/>
    <w:rsid w:val="00EC45BB"/>
    <w:rsid w:val="00ED0295"/>
    <w:rsid w:val="00ED2D7D"/>
    <w:rsid w:val="00ED2E37"/>
    <w:rsid w:val="00F11553"/>
    <w:rsid w:val="00F150C5"/>
    <w:rsid w:val="00F247A2"/>
    <w:rsid w:val="00F40315"/>
    <w:rsid w:val="00F53CCA"/>
    <w:rsid w:val="00F561C7"/>
    <w:rsid w:val="00F57B05"/>
    <w:rsid w:val="00F61D0F"/>
    <w:rsid w:val="00F62D72"/>
    <w:rsid w:val="00F673F2"/>
    <w:rsid w:val="00F77DD4"/>
    <w:rsid w:val="00FB093D"/>
    <w:rsid w:val="00FD50CD"/>
    <w:rsid w:val="00FE2B91"/>
    <w:rsid w:val="00FE5A2B"/>
    <w:rsid w:val="00FF4970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3B428-2350-42F3-A62C-6B9581BF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F1FAE"/>
    <w:pPr>
      <w:ind w:left="720"/>
      <w:contextualSpacing/>
    </w:pPr>
  </w:style>
  <w:style w:type="paragraph" w:styleId="NoSpacing">
    <w:name w:val="No Spacing"/>
    <w:uiPriority w:val="1"/>
    <w:qFormat/>
    <w:rsid w:val="004F1FAE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A51DDD"/>
  </w:style>
  <w:style w:type="table" w:styleId="TableGrid">
    <w:name w:val="Table Grid"/>
    <w:basedOn w:val="TableNormal"/>
    <w:uiPriority w:val="39"/>
    <w:rsid w:val="00050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16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6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6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6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6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6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5F8E7-D7B0-4A8C-BA5E-B5DE4CB5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3069</Words>
  <Characters>17495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Zorka Beganovic</cp:lastModifiedBy>
  <cp:revision>2</cp:revision>
  <cp:lastPrinted>2022-01-31T11:34:00Z</cp:lastPrinted>
  <dcterms:created xsi:type="dcterms:W3CDTF">2022-02-03T14:40:00Z</dcterms:created>
  <dcterms:modified xsi:type="dcterms:W3CDTF">2022-02-03T14:40:00Z</dcterms:modified>
</cp:coreProperties>
</file>